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spacing w:val="2"/>
          <w:sz w:val="24"/>
          <w:szCs w:val="24"/>
          <w:lang w:eastAsia="ru-RU"/>
        </w:rPr>
        <w:t xml:space="preserve">Определение содержания карбонатов в пробе потенциометрическим методом</w:t>
      </w:r>
    </w:p>
    <w:p>
      <w:pPr>
        <w:spacing w:after="0" w:line="360" w:lineRule="auto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Теоретические основы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метода</w:t>
      </w:r>
    </w:p>
    <w:p>
      <w:pPr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Потенциометрическое титрование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по методу нейтрализации основывается на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измерении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величины рН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процессе титрования. </w:t>
      </w:r>
    </w:p>
    <w:p>
      <w:pPr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Изменение концентрации ионов водорода в процессе титрования влечет за собой изменение электродного потенциала индикаторного электрода. По данным измерения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рН раствора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строится кривая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титрования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. </w:t>
      </w:r>
    </w:p>
    <w:p>
      <w:pPr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Взаимодействие между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Na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CO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кислотой можно рассматривать как реакцию, протекающую в две стадии. В первой стадии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карбонат превращается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бикарбонат,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 этом расходуется только половина всего объёма кислоты, необходимого для нейтрализации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Na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CO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3.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Поэтому при анализе карбонатов можно вести титрование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до превращения их в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NaHCO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</w:rPr>
        <w:t xml:space="preserve">, удваивая при расчете объем израсходованного рабочего раствора кислоты.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>
      <w:pPr>
        <w:spacing w:after="0" w:line="276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</w:r>
    </w:p>
    <w:p>
      <w:pPr>
        <w:pStyle w:val="611"/>
        <w:spacing w:after="0" w:line="276" w:lineRule="auto"/>
        <w:ind w:left="360" w:firstLine="34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Приборы и реактивы</w:t>
      </w:r>
    </w:p>
    <w:p>
      <w:pPr>
        <w:spacing w:after="0" w:line="276" w:lineRule="auto"/>
        <w:jc w:val="both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</w:r>
    </w:p>
    <w:p>
      <w:pPr>
        <w:pStyle w:val="611"/>
        <w:numPr>
          <w:numId w:val="2"/>
          <w:ilvl w:val="0"/>
        </w:numPr>
        <w:spacing w:after="0" w:line="276" w:lineRule="auto"/>
        <w:ind w:firstLine="34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pН</w:t>
      </w:r>
      <w:r>
        <w:rPr>
          <w:rFonts w:ascii="Times New Roman" w:hAnsi="Times New Roman" w:eastAsia="Calibri" w:cs="Times New Roman"/>
          <w:sz w:val="24"/>
          <w:szCs w:val="24"/>
        </w:rPr>
        <w:t xml:space="preserve">-метр</w:t>
      </w:r>
      <w:r>
        <w:rPr>
          <w:rFonts w:ascii="Times New Roman" w:hAnsi="Times New Roman" w:eastAsia="Calibri" w:cs="Times New Roman"/>
          <w:sz w:val="24"/>
          <w:szCs w:val="24"/>
        </w:rPr>
        <w:t xml:space="preserve"> с погрешностью определения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не более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± 0,05</w:t>
      </w:r>
    </w:p>
    <w:p>
      <w:pPr>
        <w:numPr>
          <w:numId w:val="2"/>
          <w:ilvl w:val="0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Магнитная мешалка</w:t>
      </w:r>
    </w:p>
    <w:p>
      <w:pPr>
        <w:numPr>
          <w:numId w:val="2"/>
          <w:ilvl w:val="0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Якорь магнитной мешалки</w:t>
      </w:r>
    </w:p>
    <w:p>
      <w:pPr>
        <w:numPr>
          <w:numId w:val="2"/>
          <w:ilvl w:val="0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Измерительный электрод комбинированный</w:t>
      </w:r>
    </w:p>
    <w:p>
      <w:pPr>
        <w:pStyle w:val="611"/>
        <w:numPr>
          <w:numId w:val="2"/>
          <w:ilvl w:val="0"/>
        </w:numPr>
        <w:spacing w:line="276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Весы аналитические, дискретность 0,0002 г</w:t>
      </w:r>
    </w:p>
    <w:p>
      <w:pPr>
        <w:pStyle w:val="611"/>
        <w:numPr>
          <w:numId w:val="2"/>
          <w:ilvl w:val="0"/>
        </w:numPr>
        <w:spacing w:line="276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Бюретка, вместимостью 50,00 см</w:t>
      </w:r>
      <w:r>
        <w:rPr>
          <w:rFonts w:ascii="Times New Roman" w:hAnsi="Times New Roman" w:eastAsia="Calibri" w:cs="Times New Roman"/>
          <w:sz w:val="24"/>
          <w:szCs w:val="24"/>
          <w:vertAlign w:val="superscript"/>
        </w:rPr>
        <w:t xml:space="preserve">3</w:t>
      </w:r>
    </w:p>
    <w:p>
      <w:pPr>
        <w:pStyle w:val="611"/>
        <w:numPr>
          <w:numId w:val="2"/>
          <w:ilvl w:val="0"/>
        </w:numPr>
        <w:spacing w:after="0" w:line="276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Стакан, вместимостью 50,00;100,00;400,00; 600,00 см</w:t>
      </w:r>
      <w:r>
        <w:rPr>
          <w:rFonts w:ascii="Times New Roman" w:hAnsi="Times New Roman" w:eastAsia="Calibri" w:cs="Times New Roman"/>
          <w:sz w:val="24"/>
          <w:szCs w:val="24"/>
          <w:vertAlign w:val="superscript"/>
        </w:rPr>
        <w:t xml:space="preserve">3 </w:t>
      </w:r>
    </w:p>
    <w:p>
      <w:pPr>
        <w:numPr>
          <w:numId w:val="2"/>
          <w:ilvl w:val="0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Пипетка, вместимостью 1</w:t>
      </w:r>
      <w:r>
        <w:rPr>
          <w:rFonts w:ascii="Times New Roman" w:hAnsi="Times New Roman" w:eastAsia="Calibri" w:cs="Times New Roman"/>
          <w:sz w:val="24"/>
          <w:szCs w:val="24"/>
        </w:rPr>
        <w:t xml:space="preserve">5,00 см</w:t>
      </w:r>
      <w:r>
        <w:rPr>
          <w:rFonts w:ascii="Times New Roman" w:hAnsi="Times New Roman" w:eastAsia="Calibri" w:cs="Times New Roman"/>
          <w:sz w:val="24"/>
          <w:szCs w:val="24"/>
          <w:vertAlign w:val="superscript"/>
        </w:rPr>
        <w:t xml:space="preserve">3 </w:t>
      </w:r>
    </w:p>
    <w:p>
      <w:pPr>
        <w:numPr>
          <w:numId w:val="2"/>
          <w:ilvl w:val="0"/>
        </w:numPr>
        <w:spacing w:after="12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Бюкс</w:t>
      </w:r>
      <w:r>
        <w:rPr>
          <w:rFonts w:ascii="Times New Roman" w:hAnsi="Times New Roman" w:eastAsia="Calibri" w:cs="Times New Roman"/>
          <w:sz w:val="24"/>
          <w:szCs w:val="24"/>
        </w:rPr>
        <w:t xml:space="preserve">; стакан для взвешивания</w:t>
      </w:r>
    </w:p>
    <w:p>
      <w:pPr>
        <w:numPr>
          <w:numId w:val="2"/>
          <w:ilvl w:val="0"/>
        </w:numPr>
        <w:spacing w:after="12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Кислота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соляная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раствор </w:t>
      </w:r>
      <w:r>
        <w:rPr>
          <w:rFonts w:ascii="Times New Roman" w:hAnsi="Times New Roman" w:eastAsia="Calibri" w:cs="Times New Roman"/>
          <w:sz w:val="24"/>
          <w:szCs w:val="24"/>
        </w:rPr>
        <w:t xml:space="preserve">0,1 М </w:t>
      </w:r>
    </w:p>
    <w:p>
      <w:pPr>
        <w:numPr>
          <w:numId w:val="2"/>
          <w:ilvl w:val="0"/>
        </w:numPr>
        <w:spacing w:after="12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Натрий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тетраборнокислый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Na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B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O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7</w:t>
      </w:r>
      <w:r>
        <w:rPr>
          <w:rFonts w:ascii="Times New Roman" w:hAnsi="Times New Roman" w:eastAsia="Calibri" w:cs="Times New Roman"/>
          <w:sz w:val="24"/>
          <w:szCs w:val="24"/>
        </w:rPr>
        <w:t xml:space="preserve">*10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H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O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раствор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 0,1 н</w:t>
      </w:r>
    </w:p>
    <w:p>
      <w:pPr>
        <w:numPr>
          <w:numId w:val="2"/>
          <w:ilvl w:val="0"/>
        </w:numPr>
        <w:spacing w:after="120" w:line="276" w:lineRule="auto"/>
        <w:ind w:left="0"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Буферные растворы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рН 4,01;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6,86;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9,18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Проведение испытания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>
        <w:rPr>
          <w:rFonts w:ascii="Times New Roman" w:hAnsi="Times New Roman" w:cs="Times New Roman"/>
          <w:sz w:val="24"/>
          <w:szCs w:val="24"/>
        </w:rPr>
        <w:t xml:space="preserve">Проверка</w:t>
      </w:r>
      <w:r>
        <w:rPr>
          <w:rFonts w:ascii="Times New Roman" w:hAnsi="Times New Roman" w:cs="Times New Roman"/>
          <w:sz w:val="24"/>
          <w:szCs w:val="24"/>
        </w:rPr>
        <w:t xml:space="preserve"> прибора по буферному раствору 6,86, при необходимости прибор калибруется.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Калибровка рН-метра по двум точкам (4,01 и 9,18) в соответствии с инструкцией производителя оборудования, проверка рН контрольного раствора (6,86)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Определение коэффициента поправки раствора соляной кислоты молярной концентрации эквивалента 0,1 моль/дм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раствору 10-водного </w:t>
      </w:r>
      <w:r>
        <w:rPr>
          <w:rFonts w:ascii="Times New Roman" w:hAnsi="Times New Roman" w:cs="Times New Roman"/>
          <w:sz w:val="24"/>
          <w:szCs w:val="24"/>
        </w:rPr>
        <w:t xml:space="preserve">тетраборнокислого</w:t>
      </w:r>
      <w:r>
        <w:rPr>
          <w:rFonts w:ascii="Times New Roman" w:hAnsi="Times New Roman" w:cs="Times New Roman"/>
          <w:sz w:val="24"/>
          <w:szCs w:val="24"/>
        </w:rPr>
        <w:t xml:space="preserve"> натрия </w:t>
      </w:r>
      <w:r>
        <w:rPr>
          <w:rFonts w:ascii="Times New Roman" w:hAnsi="Times New Roman" w:cs="Times New Roman"/>
          <w:sz w:val="24"/>
          <w:szCs w:val="24"/>
        </w:rPr>
        <w:t xml:space="preserve">0,1н.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Аликвоты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водного </w:t>
      </w:r>
      <w:r>
        <w:rPr>
          <w:rFonts w:ascii="Times New Roman" w:hAnsi="Times New Roman" w:cs="Times New Roman"/>
          <w:sz w:val="24"/>
          <w:szCs w:val="24"/>
        </w:rPr>
        <w:t xml:space="preserve">тетраборнокислого</w:t>
      </w:r>
      <w:r>
        <w:rPr>
          <w:rFonts w:ascii="Times New Roman" w:hAnsi="Times New Roman" w:cs="Times New Roman"/>
          <w:sz w:val="24"/>
          <w:szCs w:val="24"/>
        </w:rPr>
        <w:t xml:space="preserve"> натрия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объемом </w:t>
      </w:r>
      <w:r>
        <w:rPr>
          <w:rFonts w:ascii="Times New Roman" w:hAnsi="Times New Roman" w:cs="Times New Roman"/>
          <w:sz w:val="24"/>
          <w:szCs w:val="24"/>
        </w:rPr>
        <w:t xml:space="preserve">15,00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помещают в ячейку</w:t>
      </w:r>
      <w:r>
        <w:rPr>
          <w:rFonts w:ascii="Times New Roman" w:hAnsi="Times New Roman" w:cs="Times New Roman"/>
          <w:sz w:val="24"/>
          <w:szCs w:val="24"/>
        </w:rPr>
        <w:t xml:space="preserve"> для титрования, </w:t>
      </w:r>
      <w:r>
        <w:rPr>
          <w:rFonts w:ascii="Times New Roman" w:hAnsi="Times New Roman" w:cs="Times New Roman"/>
          <w:sz w:val="24"/>
          <w:szCs w:val="24"/>
        </w:rPr>
        <w:t xml:space="preserve">добавляют 4</w:t>
      </w:r>
      <w:r>
        <w:rPr>
          <w:rFonts w:ascii="Times New Roman" w:hAnsi="Times New Roman" w:cs="Times New Roman"/>
          <w:sz w:val="24"/>
          <w:szCs w:val="24"/>
        </w:rPr>
        <w:t xml:space="preserve">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воды</w:t>
      </w:r>
      <w:r>
        <w:rPr>
          <w:rFonts w:ascii="Times New Roman" w:hAnsi="Times New Roman" w:cs="Times New Roman"/>
          <w:sz w:val="24"/>
          <w:szCs w:val="24"/>
        </w:rPr>
        <w:t xml:space="preserve"> и титруют </w:t>
      </w:r>
      <w:r>
        <w:rPr>
          <w:rFonts w:ascii="Times New Roman" w:hAnsi="Times New Roman" w:cs="Times New Roman"/>
          <w:sz w:val="24"/>
          <w:szCs w:val="24"/>
        </w:rPr>
        <w:t xml:space="preserve">потенциометрически</w:t>
      </w:r>
      <w:r>
        <w:rPr>
          <w:rFonts w:ascii="Times New Roman" w:hAnsi="Times New Roman" w:cs="Times New Roman"/>
          <w:sz w:val="24"/>
          <w:szCs w:val="24"/>
        </w:rPr>
        <w:t xml:space="preserve"> из бюретки раствором </w:t>
      </w:r>
      <w:r>
        <w:rPr>
          <w:rFonts w:ascii="Times New Roman" w:hAnsi="Times New Roman" w:cs="Times New Roman"/>
          <w:sz w:val="24"/>
          <w:szCs w:val="24"/>
        </w:rPr>
        <w:t xml:space="preserve">соляной кислоты. Первое титрование является ориентировочным. </w:t>
      </w:r>
      <w:r>
        <w:rPr>
          <w:rFonts w:ascii="Times New Roman" w:hAnsi="Times New Roman" w:cs="Times New Roman"/>
          <w:sz w:val="24"/>
          <w:szCs w:val="24"/>
        </w:rPr>
        <w:t xml:space="preserve">Титрант</w:t>
      </w:r>
      <w:r>
        <w:rPr>
          <w:rFonts w:ascii="Times New Roman" w:hAnsi="Times New Roman" w:cs="Times New Roman"/>
          <w:sz w:val="24"/>
          <w:szCs w:val="24"/>
        </w:rPr>
        <w:t xml:space="preserve"> добав</w:t>
      </w:r>
      <w:r>
        <w:rPr>
          <w:rFonts w:ascii="Times New Roman" w:hAnsi="Times New Roman" w:cs="Times New Roman"/>
          <w:sz w:val="24"/>
          <w:szCs w:val="24"/>
        </w:rPr>
        <w:t xml:space="preserve">ляют равномерными порциями </w:t>
      </w:r>
      <w:r>
        <w:rPr>
          <w:rFonts w:ascii="Times New Roman" w:hAnsi="Times New Roman" w:cs="Times New Roman"/>
          <w:sz w:val="24"/>
          <w:szCs w:val="24"/>
        </w:rPr>
        <w:t xml:space="preserve">по 0,5</w:t>
      </w:r>
      <w:r>
        <w:rPr>
          <w:rFonts w:ascii="Times New Roman" w:hAnsi="Times New Roman" w:cs="Times New Roman"/>
          <w:sz w:val="24"/>
          <w:szCs w:val="24"/>
        </w:rPr>
        <w:t xml:space="preserve">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и записывают результаты измерения </w:t>
      </w:r>
      <w:r>
        <w:rPr>
          <w:rFonts w:ascii="Times New Roman" w:hAnsi="Times New Roman" w:cs="Times New Roman"/>
          <w:sz w:val="24"/>
          <w:szCs w:val="24"/>
        </w:rPr>
        <w:t xml:space="preserve">рН</w:t>
      </w:r>
      <w:r>
        <w:rPr>
          <w:rFonts w:ascii="Times New Roman" w:hAnsi="Times New Roman" w:cs="Times New Roman"/>
          <w:sz w:val="24"/>
          <w:szCs w:val="24"/>
        </w:rPr>
        <w:t xml:space="preserve"> после каждого добавления </w:t>
      </w:r>
      <w:r>
        <w:rPr>
          <w:rFonts w:ascii="Times New Roman" w:hAnsi="Times New Roman" w:cs="Times New Roman"/>
          <w:sz w:val="24"/>
          <w:szCs w:val="24"/>
        </w:rPr>
        <w:t xml:space="preserve">титранта</w:t>
      </w:r>
      <w:r>
        <w:rPr>
          <w:rFonts w:ascii="Times New Roman" w:hAnsi="Times New Roman" w:cs="Times New Roman"/>
          <w:sz w:val="24"/>
          <w:szCs w:val="24"/>
        </w:rPr>
        <w:t xml:space="preserve">. Титрование продолжают до незначительного изменения </w:t>
      </w:r>
      <w:r>
        <w:rPr>
          <w:rFonts w:ascii="Times New Roman" w:hAnsi="Times New Roman" w:cs="Times New Roman"/>
          <w:sz w:val="24"/>
          <w:szCs w:val="24"/>
        </w:rPr>
        <w:t xml:space="preserve">рН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При последующих титрованиях добавляют раствор соляной кислоты </w:t>
      </w:r>
      <w:r>
        <w:rPr>
          <w:rFonts w:ascii="Times New Roman" w:hAnsi="Times New Roman" w:cs="Times New Roman"/>
          <w:sz w:val="24"/>
          <w:szCs w:val="24"/>
        </w:rPr>
        <w:t xml:space="preserve">приблизительно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2,0-5</w:t>
      </w:r>
      <w:r>
        <w:rPr>
          <w:rFonts w:ascii="Times New Roman" w:hAnsi="Times New Roman" w:cs="Times New Roman"/>
          <w:sz w:val="24"/>
          <w:szCs w:val="24"/>
        </w:rPr>
        <w:t xml:space="preserve">,0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меньше, чем пошло на</w:t>
      </w:r>
      <w:r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стижение точки эквивалентности первого </w:t>
      </w:r>
      <w:r>
        <w:rPr>
          <w:rFonts w:ascii="Times New Roman" w:hAnsi="Times New Roman" w:cs="Times New Roman"/>
          <w:sz w:val="24"/>
          <w:szCs w:val="24"/>
        </w:rPr>
        <w:t xml:space="preserve">титрования</w:t>
      </w:r>
      <w:r>
        <w:rPr>
          <w:rFonts w:ascii="Times New Roman" w:hAnsi="Times New Roman" w:cs="Times New Roman"/>
          <w:sz w:val="24"/>
          <w:szCs w:val="24"/>
        </w:rPr>
        <w:t xml:space="preserve">, тщательно перемешивают и титруют (</w:t>
      </w:r>
      <w:r>
        <w:rPr>
          <w:rFonts w:ascii="Times New Roman" w:hAnsi="Times New Roman" w:cs="Times New Roman"/>
          <w:sz w:val="24"/>
          <w:szCs w:val="24"/>
        </w:rPr>
        <w:t xml:space="preserve">дотитровывают</w:t>
      </w:r>
      <w:r>
        <w:rPr>
          <w:rFonts w:ascii="Times New Roman" w:hAnsi="Times New Roman" w:cs="Times New Roman"/>
          <w:sz w:val="24"/>
          <w:szCs w:val="24"/>
        </w:rPr>
        <w:t xml:space="preserve">) до незначительного изменения рН.</w:t>
      </w:r>
      <w:r>
        <w:rPr>
          <w:rFonts w:ascii="Times New Roman" w:hAnsi="Times New Roman" w:cs="Times New Roman"/>
          <w:sz w:val="24"/>
          <w:szCs w:val="24"/>
        </w:rPr>
        <w:t xml:space="preserve"> Титрование проводят не менее трех раз.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заносятся </w:t>
      </w:r>
      <w:r>
        <w:rPr>
          <w:rFonts w:ascii="Times New Roman" w:hAnsi="Times New Roman" w:cs="Times New Roman"/>
          <w:sz w:val="24"/>
          <w:szCs w:val="24"/>
        </w:rPr>
        <w:t xml:space="preserve">в таблицу:</w:t>
      </w:r>
    </w:p>
    <w:p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10"/>
        <w:tblW w:w="0" w:type="auto"/>
        <w:tblInd w:w="675" w:type="dxa"/>
        <w:tblLook w:val="04A0" w:firstRow="1" w:lastRow="0" w:firstColumn="1" w:lastColumn="0" w:noHBand="0" w:noVBand="1"/>
      </w:tblPr>
      <w:tblGrid>
        <w:gridCol w:w="2185"/>
        <w:gridCol w:w="2160"/>
        <w:gridCol w:w="2160"/>
        <w:gridCol w:w="2165"/>
      </w:tblGrid>
      <w:tr>
        <w:trPr/>
        <w:tc>
          <w:tcPr>
            <w:tcW w:w="2185" w:type="dxa"/>
            <w:vMerge w:val="restart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m:oMathPara>
              <m:oMathParaPr/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HCl</m:t>
                    </m:r>
                  </m:sub>
                </m:sSub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4"/>
                        <w:szCs w:val="24"/>
                      </w:rPr>
                      <m:t>см</m:t>
                    </m:r>
                  </m:e>
                  <m:sup>
                    <m:r>
                      <m:rPr/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рН</w:t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рН</w:t>
            </w:r>
          </w:p>
        </w:tc>
        <w:tc>
          <w:tcPr>
            <w:tcW w:w="2165" w:type="dxa"/>
            <w:noWrap w:val="false"/>
            <w:textDirection w:val="lrTb"/>
          </w:tcPr>
          <w:p>
            <w:pPr>
              <w:ind w:firstLine="70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рН</w:t>
            </w:r>
          </w:p>
        </w:tc>
      </w:tr>
      <w:tr>
        <w:trPr/>
        <w:tc>
          <w:tcPr>
            <w:tcW w:w="2185" w:type="dxa"/>
            <w:vMerge w:val="continue"/>
            <w:noWrap w:val="false"/>
            <w:textDirection w:val="lrTb"/>
            <w:vAlign w:val="center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</w:p>
        </w:tc>
        <w:tc>
          <w:tcPr>
            <w:tcW w:w="2165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</w:p>
        </w:tc>
      </w:tr>
      <w:tr>
        <w:trPr/>
        <w:tc>
          <w:tcPr>
            <w:tcW w:w="2185" w:type="dxa"/>
            <w:noWrap w:val="false"/>
            <w:textDirection w:val="lrTb"/>
            <w:vAlign w:val="center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5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185" w:type="dxa"/>
            <w:noWrap w:val="false"/>
            <w:textDirection w:val="lrTb"/>
            <w:vAlign w:val="center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5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185" w:type="dxa"/>
            <w:noWrap w:val="false"/>
            <w:textDirection w:val="lrTb"/>
            <w:vAlign w:val="center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5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185" w:type="dxa"/>
            <w:noWrap w:val="false"/>
            <w:textDirection w:val="lrTb"/>
            <w:vAlign w:val="center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0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5" w:type="dxa"/>
            <w:noWrap w:val="false"/>
            <w:textDirection w:val="lrTb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614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14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 помощи </w:t>
      </w:r>
      <w:r>
        <w:rPr>
          <w:rFonts w:ascii="Times New Roman" w:hAnsi="Times New Roman"/>
          <w:iCs/>
          <w:sz w:val="24"/>
          <w:szCs w:val="24"/>
        </w:rPr>
        <w:t xml:space="preserve">М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S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Excel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c</w:t>
      </w:r>
      <w:r>
        <w:rPr>
          <w:rFonts w:ascii="Times New Roman" w:hAnsi="Times New Roman"/>
          <w:iCs/>
          <w:sz w:val="24"/>
          <w:szCs w:val="24"/>
        </w:rPr>
        <w:t xml:space="preserve">троят кривую потенциометрического титрования для каждой </w:t>
      </w:r>
      <w:r>
        <w:rPr>
          <w:rFonts w:ascii="Times New Roman" w:hAnsi="Times New Roman"/>
          <w:iCs/>
          <w:sz w:val="24"/>
          <w:szCs w:val="24"/>
        </w:rPr>
        <w:t xml:space="preserve">аликвоты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установочного вещества, откладывая по оси абсцисс объем </w:t>
      </w:r>
      <w:r>
        <w:rPr>
          <w:rFonts w:ascii="Times New Roman" w:hAnsi="Times New Roman"/>
          <w:iCs/>
          <w:sz w:val="24"/>
          <w:szCs w:val="24"/>
        </w:rPr>
        <w:t xml:space="preserve">соляной</w:t>
      </w:r>
      <w:r>
        <w:rPr>
          <w:rFonts w:ascii="Times New Roman" w:hAnsi="Times New Roman"/>
          <w:iCs/>
          <w:sz w:val="24"/>
          <w:szCs w:val="24"/>
        </w:rPr>
        <w:t xml:space="preserve"> кислоты, а по оси ординат – </w:t>
      </w:r>
      <w:r>
        <w:rPr>
          <w:rFonts w:ascii="Times New Roman" w:hAnsi="Times New Roman"/>
          <w:iCs/>
          <w:sz w:val="24"/>
          <w:szCs w:val="24"/>
        </w:rPr>
        <w:t xml:space="preserve">рН</w:t>
      </w:r>
    </w:p>
    <w:p>
      <w:pPr>
        <w:pStyle w:val="611"/>
        <w:spacing w:before="120" w:after="12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Графически находят точку эквивалентности и рассчитывают коэффициент поправки.</w:t>
      </w:r>
    </w:p>
    <w:p>
      <w:pPr>
        <w:pStyle w:val="611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611"/>
        <w:spacing w:before="120" w:after="12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К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  <m:num>
            <m:r>
              <m:rPr/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num>
        </m:f>
      </m:oMath>
    </w:p>
    <w:p>
      <w:pPr>
        <w:pStyle w:val="611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коэффициент поправки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аликвоты</w:t>
      </w:r>
      <w:r>
        <w:rPr>
          <w:rFonts w:ascii="Times New Roman" w:hAnsi="Times New Roman" w:cs="Times New Roman"/>
          <w:sz w:val="24"/>
          <w:szCs w:val="24"/>
        </w:rPr>
        <w:t xml:space="preserve"> 10- водного </w:t>
      </w:r>
      <w:r>
        <w:rPr>
          <w:rFonts w:ascii="Times New Roman" w:hAnsi="Times New Roman" w:cs="Times New Roman"/>
          <w:sz w:val="24"/>
          <w:szCs w:val="24"/>
        </w:rPr>
        <w:t xml:space="preserve">тетраборнокислого</w:t>
      </w:r>
      <w:r>
        <w:rPr>
          <w:rFonts w:ascii="Times New Roman" w:hAnsi="Times New Roman" w:cs="Times New Roman"/>
          <w:sz w:val="24"/>
          <w:szCs w:val="24"/>
        </w:rPr>
        <w:t xml:space="preserve"> натрия,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соляной</w:t>
      </w:r>
      <w:r>
        <w:rPr>
          <w:rFonts w:ascii="Times New Roman" w:hAnsi="Times New Roman" w:cs="Times New Roman"/>
          <w:sz w:val="24"/>
          <w:szCs w:val="24"/>
        </w:rPr>
        <w:t xml:space="preserve"> кислоты, определенный по кривой титрования</w:t>
      </w:r>
      <w:r>
        <w:rPr>
          <w:rFonts w:ascii="Times New Roman" w:hAnsi="Times New Roman" w:cs="Times New Roman"/>
          <w:sz w:val="24"/>
          <w:szCs w:val="24"/>
        </w:rPr>
        <w:t xml:space="preserve">,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</w:p>
    <w:p>
      <w:pPr>
        <w:pStyle w:val="611"/>
        <w:spacing w:before="120" w:after="0" w:line="360" w:lineRule="auto"/>
        <w:ind w:left="0" w:firstLine="709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</w:r>
    </w:p>
    <w:p>
      <w:pPr>
        <w:pStyle w:val="611"/>
        <w:spacing w:before="120" w:after="0" w:line="360" w:lineRule="auto"/>
        <w:ind w:left="0" w:firstLine="709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Коэффициент поправки вычисляют с точностью до четвертого знака по каждой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пробе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установочного вещества. Расхождение между коэффициентами не должно превышать 0,001. Из вычисленных значений коэффициентов берут среднее арифметическое. Если один из коэффициентов не укладывается в требования расхождения, допускается рассчитать среднее з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начение по двум результатам. З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начение коэффициента поправки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должно быть равным 1,00 ± 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0,03</w:t>
      </w:r>
    </w:p>
    <w:p>
      <w:pPr>
        <w:pStyle w:val="611"/>
        <w:spacing w:before="120" w:after="120" w:line="360" w:lineRule="auto"/>
        <w:ind w:left="0" w:firstLine="709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Точную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молярную концентрацию С моль/дм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с коэффициентом поправки вычисляют по формуле: </w:t>
      </w:r>
    </w:p>
    <w:p>
      <w:pPr>
        <w:pStyle w:val="611"/>
        <w:spacing w:before="120" w:after="120" w:line="240" w:lineRule="auto"/>
        <w:ind w:left="0" w:firstLine="709"/>
        <w:jc w:val="center"/>
        <w:rPr>
          <w:rFonts w:ascii="Times New Roman" w:hAnsi="Times New Roman" w:cs="Times New Roman" w:eastAsiaTheme="minorEastAsia"/>
          <w:sz w:val="28"/>
          <w:szCs w:val="28"/>
        </w:rPr>
      </w:pPr>
      <m:oMathPara>
        <m:oMathParaPr/>
        <m:oMath>
          <m:r>
            <m:rPr/>
            <w:rPr>
              <w:rFonts w:ascii="Cambria Math" w:hAnsi="Cambria Math" w:cs="Times New Roman"/>
              <w:sz w:val="28"/>
              <w:szCs w:val="28"/>
            </w:rPr>
            <m:t>С=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e>
            <m: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m:rPr/>
            <w:rPr>
              <w:rFonts w:ascii="Times New Roman" w:hAnsi="Times New Roman" w:cs="Times New Roman"/>
              <w:sz w:val="28"/>
              <w:szCs w:val="28"/>
            </w:rPr>
            <m:t>‧</m:t>
          </m:r>
          <m:r>
            <m:rPr/>
            <w:rPr>
              <w:rFonts w:ascii="Cambria Math" w:hAnsi="Cambria Math" w:cs="Times New Roman"/>
              <w:sz w:val="28"/>
              <w:szCs w:val="28"/>
            </w:rPr>
            <m:t>К</m:t>
          </m:r>
        </m:oMath>
      </m:oMathPara>
    </w:p>
    <w:p>
      <w:pPr>
        <w:pStyle w:val="611"/>
        <w:spacing w:before="120" w:after="120" w:line="240" w:lineRule="auto"/>
        <w:ind w:left="0" w:firstLine="709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</w:r>
    </w:p>
    <w:p>
      <w:pPr>
        <w:pStyle w:val="611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 – заданная молярная концентрация соляной кислоты, моль/дм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– коэффициент поправки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6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Выполнение определения</w:t>
      </w:r>
    </w:p>
    <w:p>
      <w:pPr>
        <w:pStyle w:val="611"/>
        <w:spacing w:after="0" w:line="36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Навеску образца соды массой 0,1000-0,20</w:t>
      </w:r>
      <w:r>
        <w:rPr>
          <w:rFonts w:ascii="Times New Roman" w:hAnsi="Times New Roman" w:cs="Times New Roman"/>
          <w:sz w:val="24"/>
          <w:szCs w:val="24"/>
        </w:rPr>
        <w:t xml:space="preserve">00 г растворяют в </w:t>
      </w:r>
      <w:r>
        <w:rPr>
          <w:rFonts w:ascii="Times New Roman" w:hAnsi="Times New Roman" w:cs="Times New Roman"/>
          <w:sz w:val="24"/>
          <w:szCs w:val="24"/>
        </w:rPr>
        <w:t xml:space="preserve">40,00 </w:t>
      </w:r>
      <w:r>
        <w:rPr>
          <w:rFonts w:ascii="Times New Roman" w:hAnsi="Times New Roman" w:cs="Times New Roman"/>
          <w:sz w:val="24"/>
          <w:szCs w:val="24"/>
        </w:rPr>
        <w:t xml:space="preserve"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  дистиллированной воды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стакане,</w:t>
      </w:r>
      <w:r>
        <w:rPr>
          <w:rFonts w:ascii="Times New Roman" w:hAnsi="Times New Roman" w:cs="Times New Roman"/>
          <w:sz w:val="24"/>
          <w:szCs w:val="24"/>
        </w:rPr>
        <w:t xml:space="preserve"> вместимостью 10</w:t>
      </w:r>
      <w:r>
        <w:rPr>
          <w:rFonts w:ascii="Times New Roman" w:hAnsi="Times New Roman" w:cs="Times New Roman"/>
          <w:sz w:val="24"/>
          <w:szCs w:val="24"/>
        </w:rPr>
        <w:t xml:space="preserve">0,00</w:t>
      </w:r>
      <w:r>
        <w:rPr>
          <w:rFonts w:ascii="Times New Roman" w:hAnsi="Times New Roman" w:cs="Times New Roman"/>
          <w:sz w:val="24"/>
          <w:szCs w:val="24"/>
        </w:rPr>
        <w:t xml:space="preserve">-150,00</w:t>
      </w:r>
      <w:r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 перемешивают при помощи магнитной мешалки.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огружают электроды, записывают результаты измерения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рН. Используют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качестве измерительного электрода -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комбинированный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Пробу титруют раствором соляной кислоты</w:t>
      </w:r>
      <w:r>
        <w:rPr>
          <w:rFonts w:ascii="Times New Roman" w:hAnsi="Times New Roman" w:cs="Times New Roman"/>
          <w:sz w:val="24"/>
          <w:szCs w:val="24"/>
        </w:rPr>
        <w:t xml:space="preserve"> 0,1 М.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Титрант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добавляют из бюретки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равномерными порциями по 0,5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см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 перемешивании раствора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магнитной мешалкой, записывают результаты измерения рН после каждого добавления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титранта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 последующих титрованиях добавляют раствор соляной кислоты </w:t>
      </w:r>
      <w:r>
        <w:rPr>
          <w:rFonts w:ascii="Times New Roman" w:hAnsi="Times New Roman" w:cs="Times New Roman"/>
          <w:sz w:val="24"/>
          <w:szCs w:val="24"/>
        </w:rPr>
        <w:t xml:space="preserve">приблизительно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2,0-5</w:t>
      </w:r>
      <w:r>
        <w:rPr>
          <w:rFonts w:ascii="Times New Roman" w:hAnsi="Times New Roman" w:cs="Times New Roman"/>
          <w:sz w:val="24"/>
          <w:szCs w:val="24"/>
        </w:rPr>
        <w:t xml:space="preserve">,0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меньше, чем пошло на до</w:t>
      </w:r>
      <w:r>
        <w:rPr>
          <w:rFonts w:ascii="Times New Roman" w:hAnsi="Times New Roman" w:cs="Times New Roman"/>
          <w:sz w:val="24"/>
          <w:szCs w:val="24"/>
        </w:rPr>
        <w:t xml:space="preserve">стижение точки эквивалентности </w:t>
      </w:r>
      <w:r>
        <w:rPr>
          <w:rFonts w:ascii="Times New Roman" w:hAnsi="Times New Roman" w:cs="Times New Roman"/>
          <w:sz w:val="24"/>
          <w:szCs w:val="24"/>
        </w:rPr>
        <w:t xml:space="preserve">первого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титрования, тщательно перемешивают и титруют (</w:t>
      </w:r>
      <w:r>
        <w:rPr>
          <w:rFonts w:ascii="Times New Roman" w:hAnsi="Times New Roman" w:cs="Times New Roman"/>
          <w:sz w:val="24"/>
          <w:szCs w:val="24"/>
        </w:rPr>
        <w:t xml:space="preserve">дотитровывают</w:t>
      </w:r>
      <w:r>
        <w:rPr>
          <w:rFonts w:ascii="Times New Roman" w:hAnsi="Times New Roman" w:cs="Times New Roman"/>
          <w:sz w:val="24"/>
          <w:szCs w:val="24"/>
        </w:rPr>
        <w:t xml:space="preserve">) до незначительного изменения рН.</w:t>
      </w:r>
    </w:p>
    <w:p>
      <w:pPr>
        <w:spacing w:before="120" w:after="200" w:line="276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Титрование проводят 2 раза.</w:t>
      </w:r>
    </w:p>
    <w:p>
      <w:pPr>
        <w:spacing w:before="120" w:after="200" w:line="276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2.4 Расчет результатов определений</w:t>
      </w:r>
    </w:p>
    <w:p>
      <w:pPr>
        <w:spacing w:before="120" w:after="200" w:line="276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Na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CO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образце (</w:t>
      </w:r>
      <w:r>
        <w:rPr>
          <w:rFonts w:ascii="Times New Roman" w:hAnsi="Times New Roman" w:eastAsia="Calibri" w:cs="Times New Roman"/>
          <w:sz w:val="24"/>
          <w:szCs w:val="24"/>
        </w:rPr>
        <w:t xml:space="preserve">%) 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рассчитывают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по формуле</w:t>
      </w:r>
    </w:p>
    <w:p>
      <w:pPr>
        <w:spacing w:before="120" w:after="200" w:line="276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eastAsia="Calibri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m:rPr/>
              <w:rPr>
                <w:rFonts w:ascii="Cambria Math" w:hAnsi="Cambria Math" w:eastAsia="Calibri" w:cs="Times New Roman"/>
                <w:sz w:val="28"/>
                <w:szCs w:val="28"/>
                <w:lang w:val="en-US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  <w:lang w:val="en-US"/>
                  </w:rPr>
                  <m:t>Na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  <w:lang w:val="en-US"/>
                  </w:rPr>
                  <m:t>CO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3</m:t>
                </m:r>
              </m:sub>
            </m:sSub>
          </m:sub>
        </m:sSub>
      </m:oMath>
      <w:r>
        <w:rPr>
          <w:rFonts w:ascii="Times New Roman" w:hAnsi="Times New Roman" w:eastAsia="Calibri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eastAsia="Calibri" w:cs="Times New Roman"/>
                <w:i/>
                <w:sz w:val="28"/>
                <w:szCs w:val="28"/>
              </w:rPr>
            </m:ctrlPr>
          </m:fPr>
          <m:den>
            <m:r>
              <m:rPr/>
              <w:rPr>
                <w:rFonts w:ascii="Cambria Math" w:hAnsi="Cambria Math" w:eastAsia="Calibri" w:cs="Times New Roman"/>
                <w:sz w:val="28"/>
                <w:szCs w:val="28"/>
              </w:rPr>
              <m:t>10</m:t>
            </m:r>
            <m:r>
              <m:rPr/>
              <w:rPr>
                <w:rFonts w:ascii="Times New Roman" w:hAnsi="Times New Roman" w:eastAsia="Calibri" w:cs="Times New Roman"/>
                <w:sz w:val="28"/>
                <w:szCs w:val="28"/>
              </w:rPr>
              <m:t>‧</m:t>
            </m:r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н</m:t>
                </m:r>
              </m:sub>
            </m:sSub>
          </m:den>
          <m:num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C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HCl</m:t>
                </m:r>
              </m:sub>
            </m:sSub>
            <m:r>
              <m:rPr/>
              <w:rPr>
                <w:rFonts w:ascii="Cambria Math" w:hAnsi="Cambria Math" w:eastAsia="Calibri" w:cs="Times New Roman"/>
                <w:sz w:val="28"/>
                <w:szCs w:val="28"/>
              </w:rPr>
              <m:t> </m:t>
            </m:r>
            <m:r>
              <m:rPr/>
              <w:rPr>
                <w:rFonts w:ascii="Times New Roman" w:hAnsi="Times New Roman" w:eastAsia="Calibri" w:cs="Times New Roman"/>
                <w:sz w:val="28"/>
                <w:szCs w:val="28"/>
              </w:rPr>
              <m:t>‧</m:t>
            </m:r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V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HCl</m:t>
                </m:r>
              </m:sub>
            </m:sSub>
            <m:r>
              <m:rPr/>
              <w:rPr>
                <w:rFonts w:ascii="Times New Roman" w:hAnsi="Times New Roman" w:eastAsia="Calibri" w:cs="Times New Roman"/>
                <w:sz w:val="28"/>
                <w:szCs w:val="28"/>
              </w:rPr>
              <m:t>‧</m:t>
            </m:r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M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э(</m:t>
                </m:r>
                <m:sSub>
                  <m:sSubPr>
                    <m:ctrlPr>
                      <w:rPr>
                        <w:rFonts w:ascii="Cambria Math" w:hAnsi="Cambria Math" w:eastAsia="Calibri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Calibri" w:cs="Times New Roman"/>
                        <w:sz w:val="28"/>
                        <w:szCs w:val="28"/>
                        <w:lang w:val="en-US"/>
                      </w:rPr>
                      <m:t>Na</m:t>
                    </m:r>
                  </m:e>
                  <m:sub>
                    <m:r>
                      <m:rPr/>
                      <w:rPr>
                        <w:rFonts w:ascii="Cambria Math" w:hAnsi="Cambria Math" w:eastAsia="Calibri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eastAsia="Calibri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Calibri" w:cs="Times New Roman"/>
                        <w:sz w:val="28"/>
                        <w:szCs w:val="28"/>
                        <w:lang w:val="en-US"/>
                      </w:rPr>
                      <m:t>CO</m:t>
                    </m:r>
                  </m:e>
                  <m:sub>
                    <m:r>
                      <m:rPr/>
                      <w:rPr>
                        <w:rFonts w:ascii="Cambria Math" w:hAnsi="Cambria Math" w:eastAsia="Calibri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m:rPr/>
                  <w:rPr>
                    <w:rFonts w:ascii="Cambria Math" w:hAnsi="Cambria Math" w:eastAsia="Calibri" w:cs="Times New Roman"/>
                    <w:sz w:val="28"/>
                    <w:szCs w:val="28"/>
                  </w:rPr>
                  <m:t>)</m:t>
                </m:r>
              </m:sub>
            </m:sSub>
          </m:num>
        </m:f>
      </m:oMath>
    </w:p>
    <w:p>
      <w:pPr>
        <w:spacing w:before="120" w:after="200" w:line="276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где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eastAsia="Calibri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m:rPr/>
              <w:rPr>
                <w:rFonts w:ascii="Cambria Math" w:hAnsi="Cambria Math" w:eastAsia="Calibri" w:cs="Times New Roman"/>
                <w:sz w:val="24"/>
                <w:szCs w:val="24"/>
                <w:lang w:val="en-US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  <w:lang w:val="en-US"/>
                  </w:rPr>
                  <m:t>Na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  <w:lang w:val="en-US"/>
                  </w:rPr>
                  <m:t>CO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</w:rPr>
                  <m:t>3</m:t>
                </m:r>
              </m:sub>
            </m:sSub>
          </m:sub>
        </m:sSub>
      </m:oMath>
      <w:r>
        <w:rPr>
          <w:rFonts w:ascii="Times New Roman" w:hAnsi="Times New Roman" w:eastAsia="Calibri" w:cs="Times New Roman"/>
          <w:sz w:val="24"/>
          <w:szCs w:val="24"/>
        </w:rPr>
        <w:t xml:space="preserve">– содержание карбоната натрия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rPr>
          <w:rFonts w:ascii="Times New Roman" w:hAnsi="Times New Roman" w:eastAsia="Calibri" w:cs="Times New Roman"/>
          <w:sz w:val="24"/>
          <w:szCs w:val="24"/>
        </w:rPr>
        <w:t xml:space="preserve"> %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</w:p>
    <w:p>
      <w:pPr>
        <w:tabs>
          <w:tab w:val="left" w:pos="567" w:leader="none"/>
        </w:tabs>
        <w:spacing w:before="120" w:after="200" w:line="276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С</w:t>
      </w:r>
      <w:r>
        <w:rPr>
          <w:rFonts w:ascii="Times New Roman" w:hAnsi="Times New Roman" w:eastAsia="Calibri" w:cs="Times New Roman"/>
          <w:sz w:val="24"/>
          <w:szCs w:val="24"/>
          <w:vertAlign w:val="subscript"/>
          <w:lang w:val="en-US"/>
        </w:rPr>
        <w:t xml:space="preserve">HCl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 –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концентрация соляной кислоты; моль/дм</w:t>
      </w:r>
      <w:r>
        <w:rPr>
          <w:rFonts w:ascii="Times New Roman" w:hAnsi="Times New Roman" w:eastAsia="Calibri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</w:p>
    <w:p>
      <w:pPr>
        <w:tabs>
          <w:tab w:val="left" w:pos="567" w:leader="none"/>
        </w:tabs>
        <w:spacing w:before="120" w:after="200" w:line="276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sz w:val="24"/>
          <w:szCs w:val="24"/>
          <w:vertAlign w:val="subscript"/>
          <w:lang w:val="en-US"/>
        </w:rPr>
        <w:t xml:space="preserve">HCl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  объем соляной кислоты, пошедший на титрование пробы; см</w:t>
      </w:r>
      <w:r>
        <w:rPr>
          <w:rFonts w:ascii="Times New Roman" w:hAnsi="Times New Roman" w:eastAsia="Calibri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</w:p>
    <w:p>
      <w:pPr>
        <w:spacing w:before="120" w:after="200" w:line="276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eastAsia="Calibri" w:cs="Times New Roman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 w:eastAsia="Calibri" w:cs="Times New Roman"/>
                <w:sz w:val="24"/>
                <w:szCs w:val="24"/>
              </w:rPr>
              <m:t>M</m:t>
            </m:r>
          </m:e>
          <m:sub>
            <m:r>
              <m:rPr/>
              <w:rPr>
                <w:rFonts w:ascii="Cambria Math" w:hAnsi="Cambria Math" w:eastAsia="Calibri" w:cs="Times New Roman"/>
                <w:sz w:val="24"/>
                <w:szCs w:val="24"/>
              </w:rPr>
              <m:t>э(</m:t>
            </m:r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  <w:lang w:val="en-US"/>
                  </w:rPr>
                  <m:t>Na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eastAsia="Calibri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  <w:lang w:val="en-US"/>
                  </w:rPr>
                  <m:t>CO</m:t>
                </m:r>
              </m:e>
              <m:sub>
                <m:r>
                  <m:rPr/>
                  <w:rPr>
                    <w:rFonts w:ascii="Cambria Math" w:hAnsi="Cambria Math" w:eastAsia="Calibri" w:cs="Times New Roman"/>
                    <w:sz w:val="24"/>
                    <w:szCs w:val="24"/>
                  </w:rPr>
                  <m:t>3</m:t>
                </m:r>
              </m:sub>
            </m:sSub>
            <m:r>
              <m:rPr/>
              <w:rPr>
                <w:rFonts w:ascii="Cambria Math" w:hAnsi="Cambria Math" w:eastAsia="Calibri" w:cs="Times New Roman"/>
                <w:sz w:val="24"/>
                <w:szCs w:val="24"/>
              </w:rPr>
              <m:t>)</m:t>
            </m:r>
          </m:sub>
        </m:sSub>
      </m:oMath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 молярная масса эквивалента карбоната натрия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г/моль-</w:t>
      </w:r>
      <w:r>
        <w:rPr>
          <w:rFonts w:ascii="Times New Roman" w:hAnsi="Times New Roman" w:eastAsia="Calibri" w:cs="Times New Roman"/>
          <w:sz w:val="24"/>
          <w:szCs w:val="24"/>
        </w:rPr>
        <w:t xml:space="preserve">экв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</w:p>
    <w:p>
      <w:pPr>
        <w:spacing w:before="120" w:after="200" w:line="276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m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 н –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масса навески пробы,</w:t>
      </w:r>
      <w:r>
        <w:rPr>
          <w:rFonts w:ascii="Times New Roman" w:hAnsi="Times New Roman" w:eastAsia="Calibri" w:cs="Times New Roman"/>
          <w:sz w:val="24"/>
          <w:szCs w:val="24"/>
        </w:rPr>
        <w:t xml:space="preserve"> г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vertAlign w:val="subscript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  <w:lang w:eastAsia="ru-RU"/>
        </w:rPr>
        <w:t xml:space="preserve">За результат анализа принимают среднее арифметическое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lang w:eastAsia="ru-RU"/>
        </w:rPr>
        <w:t xml:space="preserve">рез</w:t>
      </w: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  <w:lang w:eastAsia="ru-RU"/>
        </w:rPr>
        <w:t xml:space="preserve">ультатов д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lang w:eastAsia="ru-RU"/>
        </w:rPr>
        <w:t xml:space="preserve">вух </w:t>
      </w: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  <w:lang w:eastAsia="ru-RU"/>
        </w:rPr>
        <w:t xml:space="preserve">параллельных определений,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ѡ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vertAlign w:val="subscript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и ѡ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vertAlign w:val="sub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 при выполнении условия 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r>
    </w:p>
    <w:p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200‧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|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ѡ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vertAlign w:val="sub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ѡ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vertAlign w:val="subscript"/>
          <w:lang w:eastAsia="ru-RU"/>
        </w:rPr>
        <w:t xml:space="preserve">2|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 ≤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ru-RU"/>
        </w:rPr>
        <w:t xml:space="preserve">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‧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ѡ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vertAlign w:val="subscript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+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ѡ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vertAlign w:val="sub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vertAlign w:val="subscript"/>
          <w:lang w:eastAsia="ru-RU"/>
        </w:rPr>
        <w:t xml:space="preserve"> 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где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val="en-GB" w:eastAsia="ru-RU"/>
        </w:rPr>
        <w:t xml:space="preserve">r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 – предел повторяемости, %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, таблица 1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r>
    </w:p>
    <w:p>
      <w:pPr>
        <w:shd w:val="clear" w:color="auto" w:fill="ffffff"/>
        <w:tabs>
          <w:tab w:val="left" w:pos="6840" w:leader="none"/>
        </w:tabs>
        <w:spacing w:after="0" w:line="240" w:lineRule="auto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ab/>
      </w:r>
    </w:p>
    <w:p>
      <w:pP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br w:type="page" w:clear="all"/>
      </w:r>
    </w:p>
    <w:p>
      <w:pPr>
        <w:shd w:val="clear" w:color="auto" w:fill="ffffff"/>
        <w:tabs>
          <w:tab w:val="left" w:pos="6840" w:leader="none"/>
        </w:tabs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  <w:t xml:space="preserve">Таблица 1</w:t>
      </w:r>
    </w:p>
    <w:tbl>
      <w:tblPr>
        <w:tblStyle w:val="615"/>
        <w:tblpPr w:horzAnchor="margin" w:tblpXSpec="center" w:vertAnchor="text" w:tblpY="91" w:leftFromText="180" w:topFromText="0" w:rightFromText="180" w:bottomFromText="0"/>
        <w:tblW w:w="8926" w:type="dxa"/>
        <w:tblLook w:val="04A0" w:firstRow="1" w:lastRow="0" w:firstColumn="1" w:lastColumn="0" w:noHBand="0" w:noVBand="1"/>
      </w:tblPr>
      <w:tblGrid>
        <w:gridCol w:w="2411"/>
        <w:gridCol w:w="3113"/>
        <w:gridCol w:w="3402"/>
      </w:tblGrid>
      <w:tr>
        <w:trPr/>
        <w:tc>
          <w:tcPr>
            <w:tcW w:w="2411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Содержание</w:t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Na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vertAlign w:val="subscript"/>
                <w:lang w:val="en-US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CO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vertAlign w:val="subscript"/>
                <w:lang w:val="en-US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%</w:t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11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 повторяемости (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относительное значение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допускаемого расхождения между 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вумя результатами измерений, полученных в условиях повторяемости при Р= 0,95)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,%</w:t>
            </w:r>
          </w:p>
        </w:tc>
        <w:tc>
          <w:tcPr>
            <w:tcW w:w="3402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Показатель точности (границы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относительной погрешности при вероятности Р=0,95) ±δ,%</w:t>
            </w:r>
          </w:p>
        </w:tc>
      </w:tr>
      <w:tr>
        <w:trPr/>
        <w:tc>
          <w:tcPr>
            <w:tcW w:w="2411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99,8</w:t>
            </w:r>
          </w:p>
        </w:tc>
        <w:tc>
          <w:tcPr>
            <w:tcW w:w="3113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</w:p>
        </w:tc>
        <w:tc>
          <w:tcPr>
            <w:tcW w:w="3402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</w:p>
        </w:tc>
      </w:tr>
    </w:tbl>
    <w:p>
      <w:pPr>
        <w:spacing w:before="120" w:after="200" w:line="276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Оформление результатов измерений</w:t>
      </w:r>
    </w:p>
    <w:p>
      <w:pPr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Результат измерения представить в виде</w:t>
      </w:r>
    </w:p>
    <w:p>
      <w:pPr>
        <w:ind w:firstLine="709"/>
        <w:rPr>
          <w:rFonts w:ascii="Times New Roman" w:hAnsi="Times New Roman" w:eastAsia="Calibri" w:cs="Times New Roman"/>
          <w:sz w:val="24"/>
          <w:szCs w:val="24"/>
        </w:rPr>
      </w:pPr>
      <m:oMath>
        <m:r>
          <m:rPr/>
          <w:rPr>
            <w:rFonts w:ascii="Cambria Math" w:hAnsi="Cambria Math" w:eastAsia="Calibri" w:cs="Times New Roman"/>
            <w:sz w:val="24"/>
            <w:szCs w:val="24"/>
          </w:rPr>
          <m:t> </m:t>
        </m:r>
        <m:acc>
          <m:accPr>
            <m:chr m:val="̅"/>
            <m:ctrlPr>
              <w:rPr>
                <w:rFonts w:ascii="Cambria Math" w:hAnsi="Cambria Math" w:eastAsia="Times New Roman" w:cs="Times New Roman"/>
                <w:i/>
                <w:spacing w:val="2"/>
                <w:sz w:val="24"/>
                <w:szCs w:val="24"/>
                <w:lang w:eastAsia="ru-RU"/>
              </w:rPr>
            </m:ctrlPr>
          </m:accPr>
          <m:e>
            <m:r>
              <m:rPr/>
              <w:rPr>
                <w:rFonts w:ascii="Cambria Math" w:hAnsi="Cambria Math" w:eastAsia="Times New Roman" w:cs="Times New Roman"/>
                <w:spacing w:val="2"/>
                <w:sz w:val="24"/>
                <w:szCs w:val="24"/>
                <w:lang w:val="en-US" w:eastAsia="ru-RU"/>
              </w:rPr>
              <m:t>w</m:t>
            </m:r>
          </m:e>
        </m:acc>
        <m:r>
          <m:rPr>
            <m:sty m:val="p"/>
          </m:rPr>
          <w:rPr>
            <w:rFonts w:ascii="Cambria Math" w:hAnsi="Cambria Math" w:eastAsia="Times New Roman" w:cs="Times New Roman"/>
            <w:spacing w:val="2"/>
            <w:sz w:val="24"/>
            <w:szCs w:val="24"/>
            <w:lang w:eastAsia="ru-RU"/>
          </w:rPr>
          <m:t> </m:t>
        </m:r>
      </m:oMath>
      <w:r>
        <w:rPr>
          <w:rFonts w:ascii="Times New Roman" w:hAnsi="Times New Roman" w:eastAsia="Calibri" w:cs="Times New Roman"/>
          <w:sz w:val="24"/>
          <w:szCs w:val="24"/>
        </w:rPr>
        <w:t xml:space="preserve">± ∆, % при доверительной вероятности Р=0,95</w:t>
      </w:r>
    </w:p>
    <w:p>
      <w:pPr>
        <w:ind w:firstLine="709"/>
        <w:rPr>
          <w:rFonts w:ascii="Times New Roman" w:hAnsi="Times New Roman" w:eastAsia="Calibri" w:cs="Times New Roman"/>
          <w:sz w:val="24"/>
          <w:szCs w:val="24"/>
        </w:rPr>
      </w:pPr>
      <m:oMath>
        <m:acc>
          <m:accPr>
            <m:chr m:val="̅"/>
            <m:ctrlPr>
              <w:rPr>
                <w:rFonts w:ascii="Cambria Math" w:hAnsi="Cambria Math" w:eastAsia="Calibri" w:cs="Times New Roman"/>
                <w:i/>
                <w:sz w:val="24"/>
                <w:szCs w:val="24"/>
              </w:rPr>
            </m:ctrlPr>
          </m:accPr>
          <m:e>
            <m:r>
              <m:rPr/>
              <w:rPr>
                <w:rFonts w:ascii="Cambria Math" w:hAnsi="Cambria Math" w:eastAsia="Calibri" w:cs="Times New Roman"/>
                <w:sz w:val="24"/>
                <w:szCs w:val="24"/>
              </w:rPr>
              <m:t>w</m:t>
            </m:r>
          </m:e>
        </m:acc>
      </m:oMath>
      <w:r>
        <w:rPr>
          <w:rFonts w:ascii="Times New Roman" w:hAnsi="Times New Roman" w:eastAsia="Calibri" w:cs="Times New Roman"/>
          <w:sz w:val="24"/>
          <w:szCs w:val="24"/>
        </w:rPr>
        <w:t xml:space="preserve">- средняя массовая доля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Na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CO</w:t>
      </w:r>
      <w:r>
        <w:rPr>
          <w:rFonts w:ascii="Times New Roman" w:hAnsi="Times New Roman" w:eastAsia="Calibri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образце </w:t>
      </w:r>
    </w:p>
    <w:p>
      <w:pPr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Δ= 0,01*δ *</w:t>
      </w:r>
      <m:oMath>
        <m:acc>
          <m:accPr>
            <m:chr m:val="̅"/>
            <m:ctrlPr>
              <w:rPr>
                <w:rFonts w:ascii="Cambria Math" w:hAnsi="Cambria Math" w:eastAsia="Times New Roman" w:cs="Times New Roman"/>
                <w:i/>
                <w:spacing w:val="2"/>
                <w:sz w:val="24"/>
                <w:szCs w:val="24"/>
                <w:lang w:eastAsia="ru-RU"/>
              </w:rPr>
            </m:ctrlPr>
          </m:accPr>
          <m:e>
            <m:r>
              <m:rPr/>
              <w:rPr>
                <w:rFonts w:ascii="Cambria Math" w:hAnsi="Cambria Math" w:eastAsia="Times New Roman" w:cs="Times New Roman"/>
                <w:spacing w:val="2"/>
                <w:sz w:val="24"/>
                <w:szCs w:val="24"/>
                <w:lang w:val="en-US" w:eastAsia="ru-RU"/>
              </w:rPr>
              <m:t>w</m:t>
            </m:r>
          </m:e>
        </m:acc>
      </m:oMath>
      <w:r>
        <w:rPr>
          <w:rFonts w:ascii="Times New Roman" w:hAnsi="Times New Roman" w:eastAsia="Calibri" w:cs="Times New Roman"/>
          <w:sz w:val="24"/>
          <w:szCs w:val="24"/>
        </w:rPr>
        <w:t xml:space="preserve"> (δ из таблицы 1).</w:t>
      </w:r>
    </w:p>
    <w:p>
      <w:pPr>
        <w:spacing w:before="120" w:after="200" w:line="276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widowControl w:val="off"/>
        <w:spacing w:after="0" w:line="360" w:lineRule="auto"/>
        <w:ind w:right="20" w:firstLine="568"/>
        <w:jc w:val="both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</w:p>
    <w:p>
      <w:pPr>
        <w:spacing w:before="120" w:after="200" w:line="276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pStyle w:val="6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6"/>
    <w:next w:val="606"/>
    <w:link w:val="1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7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6"/>
    <w:next w:val="606"/>
    <w:link w:val="1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7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6"/>
    <w:next w:val="606"/>
    <w:link w:val="1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7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6"/>
    <w:next w:val="606"/>
    <w:link w:val="1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6"/>
    <w:next w:val="606"/>
    <w:link w:val="2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6"/>
    <w:next w:val="606"/>
    <w:link w:val="2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6"/>
    <w:next w:val="606"/>
    <w:link w:val="2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6"/>
    <w:next w:val="606"/>
    <w:link w:val="2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6"/>
    <w:next w:val="606"/>
    <w:link w:val="2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6"/>
    <w:next w:val="606"/>
    <w:link w:val="3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4">
    <w:name w:val="Title Char"/>
    <w:basedOn w:val="607"/>
    <w:link w:val="33"/>
    <w:uiPriority w:val="10"/>
    <w:rPr>
      <w:sz w:val="48"/>
      <w:szCs w:val="48"/>
    </w:rPr>
  </w:style>
  <w:style w:type="paragraph" w:styleId="35">
    <w:name w:val="Subtitle"/>
    <w:basedOn w:val="606"/>
    <w:next w:val="606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7"/>
    <w:link w:val="35"/>
    <w:uiPriority w:val="11"/>
    <w:rPr>
      <w:sz w:val="24"/>
      <w:szCs w:val="24"/>
    </w:rPr>
  </w:style>
  <w:style w:type="paragraph" w:styleId="37">
    <w:name w:val="Quote"/>
    <w:basedOn w:val="606"/>
    <w:next w:val="606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6"/>
    <w:next w:val="606"/>
    <w:link w:val="4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6"/>
    <w:link w:val="42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2">
    <w:name w:val="Header Char"/>
    <w:basedOn w:val="607"/>
    <w:link w:val="41"/>
    <w:uiPriority w:val="99"/>
  </w:style>
  <w:style w:type="paragraph" w:styleId="43">
    <w:name w:val="Footer"/>
    <w:basedOn w:val="606"/>
    <w:link w:val="4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4">
    <w:name w:val="Footer Char"/>
    <w:basedOn w:val="607"/>
    <w:link w:val="43"/>
    <w:uiPriority w:val="99"/>
  </w:style>
  <w:style w:type="paragraph" w:styleId="45">
    <w:name w:val="Caption"/>
    <w:basedOn w:val="606"/>
    <w:next w:val="6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4">
    <w:name w:val="Grid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3">
    <w:name w:val="Grid Table 5 Dark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84">
    <w:name w:val="Grid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5">
    <w:name w:val="Grid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6">
    <w:name w:val="Grid Table 5 Dark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7">
    <w:name w:val="Grid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88">
    <w:name w:val="Grid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89">
    <w:name w:val="Grid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7">
    <w:name w:val="Grid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List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6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7"/>
    <w:uiPriority w:val="99"/>
    <w:unhideWhenUsed/>
    <w:rPr>
      <w:vertAlign w:val="superscript"/>
    </w:rPr>
  </w:style>
  <w:style w:type="paragraph" w:styleId="177">
    <w:name w:val="endnote text"/>
    <w:basedOn w:val="606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7"/>
    <w:uiPriority w:val="99"/>
    <w:semiHidden/>
    <w:unhideWhenUsed/>
    <w:rPr>
      <w:vertAlign w:val="superscript"/>
    </w:rPr>
  </w:style>
  <w:style w:type="paragraph" w:styleId="180">
    <w:name w:val="toc 1"/>
    <w:basedOn w:val="606"/>
    <w:next w:val="606"/>
    <w:uiPriority w:val="39"/>
    <w:unhideWhenUsed/>
    <w:pPr>
      <w:spacing w:after="57"/>
      <w:ind w:left="0" w:right="0" w:firstLine="0"/>
    </w:pPr>
  </w:style>
  <w:style w:type="paragraph" w:styleId="181">
    <w:name w:val="toc 2"/>
    <w:basedOn w:val="606"/>
    <w:next w:val="606"/>
    <w:uiPriority w:val="39"/>
    <w:unhideWhenUsed/>
    <w:pPr>
      <w:spacing w:after="57"/>
      <w:ind w:left="283" w:right="0" w:firstLine="0"/>
    </w:pPr>
  </w:style>
  <w:style w:type="paragraph" w:styleId="182">
    <w:name w:val="toc 3"/>
    <w:basedOn w:val="606"/>
    <w:next w:val="606"/>
    <w:uiPriority w:val="39"/>
    <w:unhideWhenUsed/>
    <w:pPr>
      <w:spacing w:after="57"/>
      <w:ind w:left="567" w:right="0" w:firstLine="0"/>
    </w:pPr>
  </w:style>
  <w:style w:type="paragraph" w:styleId="183">
    <w:name w:val="toc 4"/>
    <w:basedOn w:val="606"/>
    <w:next w:val="606"/>
    <w:uiPriority w:val="39"/>
    <w:unhideWhenUsed/>
    <w:pPr>
      <w:spacing w:after="57"/>
      <w:ind w:left="850" w:right="0" w:firstLine="0"/>
    </w:pPr>
  </w:style>
  <w:style w:type="paragraph" w:styleId="184">
    <w:name w:val="toc 5"/>
    <w:basedOn w:val="606"/>
    <w:next w:val="606"/>
    <w:uiPriority w:val="39"/>
    <w:unhideWhenUsed/>
    <w:pPr>
      <w:spacing w:after="57"/>
      <w:ind w:left="1134" w:right="0" w:firstLine="0"/>
    </w:pPr>
  </w:style>
  <w:style w:type="paragraph" w:styleId="185">
    <w:name w:val="toc 6"/>
    <w:basedOn w:val="606"/>
    <w:next w:val="606"/>
    <w:uiPriority w:val="39"/>
    <w:unhideWhenUsed/>
    <w:pPr>
      <w:spacing w:after="57"/>
      <w:ind w:left="1417" w:right="0" w:firstLine="0"/>
    </w:pPr>
  </w:style>
  <w:style w:type="paragraph" w:styleId="186">
    <w:name w:val="toc 7"/>
    <w:basedOn w:val="606"/>
    <w:next w:val="606"/>
    <w:uiPriority w:val="39"/>
    <w:unhideWhenUsed/>
    <w:pPr>
      <w:spacing w:after="57"/>
      <w:ind w:left="1701" w:right="0" w:firstLine="0"/>
    </w:pPr>
  </w:style>
  <w:style w:type="paragraph" w:styleId="187">
    <w:name w:val="toc 8"/>
    <w:basedOn w:val="606"/>
    <w:next w:val="606"/>
    <w:uiPriority w:val="39"/>
    <w:unhideWhenUsed/>
    <w:pPr>
      <w:spacing w:after="57"/>
      <w:ind w:left="1984" w:right="0" w:firstLine="0"/>
    </w:pPr>
  </w:style>
  <w:style w:type="paragraph" w:styleId="188">
    <w:name w:val="toc 9"/>
    <w:basedOn w:val="606"/>
    <w:next w:val="606"/>
    <w:uiPriority w:val="39"/>
    <w:unhideWhenUsed/>
    <w:pPr>
      <w:spacing w:after="57"/>
      <w:ind w:left="2268" w:right="0" w:firstLine="0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6"/>
    <w:next w:val="606"/>
    <w:uiPriority w:val="99"/>
    <w:unhideWhenUsed/>
    <w:pPr>
      <w:spacing w:after="0" w:afterAutospacing="0"/>
    </w:pPr>
  </w:style>
  <w:style w:type="paragraph" w:styleId="606" w:default="1">
    <w:name w:val="Normal"/>
    <w:qFormat/>
  </w:style>
  <w:style w:type="character" w:styleId="607" w:default="1">
    <w:name w:val="Default Paragraph Font"/>
    <w:uiPriority w:val="1"/>
    <w:semiHidden/>
    <w:unhideWhenUsed/>
  </w:style>
  <w:style w:type="table" w:styleId="6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9" w:default="1">
    <w:name w:val="No List"/>
    <w:uiPriority w:val="99"/>
    <w:semiHidden/>
    <w:unhideWhenUsed/>
  </w:style>
  <w:style w:type="table" w:styleId="610">
    <w:name w:val="Table Grid"/>
    <w:basedOn w:val="608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11">
    <w:name w:val="List Paragraph"/>
    <w:basedOn w:val="606"/>
    <w:uiPriority w:val="34"/>
    <w:qFormat/>
    <w:pPr>
      <w:ind w:left="720"/>
      <w:contextualSpacing/>
    </w:pPr>
  </w:style>
  <w:style w:type="table" w:styleId="612" w:customStyle="1">
    <w:name w:val="Сетка таблицы1"/>
    <w:basedOn w:val="608"/>
    <w:next w:val="61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13">
    <w:name w:val="Placeholder Text"/>
    <w:basedOn w:val="607"/>
    <w:uiPriority w:val="99"/>
    <w:semiHidden/>
    <w:rPr>
      <w:color w:val="808080"/>
    </w:rPr>
  </w:style>
  <w:style w:type="paragraph" w:styleId="614" w:customStyle="1">
    <w:name w:val="Абзац списка1"/>
    <w:basedOn w:val="606"/>
    <w:pPr>
      <w:spacing w:after="200" w:line="276" w:lineRule="auto"/>
      <w:ind w:left="720"/>
      <w:contextualSpacing/>
    </w:pPr>
    <w:rPr>
      <w:rFonts w:ascii="Calibri" w:hAnsi="Calibri" w:eastAsia="Times New Roman" w:cs="Times New Roman"/>
      <w:lang w:eastAsia="ru-RU"/>
    </w:rPr>
  </w:style>
  <w:style w:type="table" w:styleId="615" w:customStyle="1">
    <w:name w:val="Сетка таблицы2"/>
    <w:basedOn w:val="608"/>
    <w:next w:val="61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16">
    <w:name w:val="Balloon Text"/>
    <w:basedOn w:val="606"/>
    <w:link w:val="61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17" w:customStyle="1">
    <w:name w:val="Текст выноски Знак"/>
    <w:basedOn w:val="607"/>
    <w:link w:val="61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5D4AD-A25C-4080-B2CE-34F1D59D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lidiya Novokshonova</cp:lastModifiedBy>
  <cp:revision>3</cp:revision>
  <dcterms:created xsi:type="dcterms:W3CDTF">2023-02-10T12:43:00Z</dcterms:created>
  <dcterms:modified xsi:type="dcterms:W3CDTF">2023-02-20T06:17:05Z</dcterms:modified>
</cp:coreProperties>
</file>