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rPr>
          <w:lang w:val="en-US"/>
        </w:rPr>
      </w:pPr>
      <w:bookmarkStart w:id="0" w:name="_GoBack"/>
      <w:bookmarkEnd w:id="0"/>
    </w:p>
    <w:p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Определение концентрации меди 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b/>
          <w:sz w:val="28"/>
          <w:szCs w:val="28"/>
        </w:rPr>
        <w:t xml:space="preserve">) фотометрическим</w:t>
      </w:r>
      <w:r>
        <w:rPr>
          <w:rFonts w:ascii="Times New Roman" w:hAnsi="Times New Roman" w:cs="Times New Roman"/>
          <w:b/>
          <w:sz w:val="28"/>
          <w:szCs w:val="28"/>
        </w:rPr>
        <w:t xml:space="preserve"> методом</w:t>
      </w:r>
      <w:r>
        <w:rPr>
          <w:rFonts w:ascii="Times New Roman" w:hAnsi="Times New Roman" w:cs="Times New Roman"/>
          <w:b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sz w:val="28"/>
          <w:szCs w:val="28"/>
        </w:rPr>
        <w:t xml:space="preserve">предварительным концентрированием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методом </w:t>
      </w:r>
      <w:r>
        <w:rPr>
          <w:rFonts w:ascii="Times New Roman" w:hAnsi="Times New Roman" w:cs="Times New Roman"/>
          <w:b/>
          <w:sz w:val="28"/>
          <w:szCs w:val="28"/>
        </w:rPr>
        <w:t xml:space="preserve">ионообменной хроматографии</w:t>
      </w:r>
    </w:p>
    <w:p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Для определения меди используется фотометрический метод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Ионообменная хроматография позволяет осуществить процессы выделения и концентрирования ионов из разбавленных растворов. Пробу, в которой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необходимо определить медь пропускают через ионообменную колонку (концентрируют), затем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фотометрируют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Метод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фотометрирования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основан на образовании комплексного соединения ионов меди с аммиаком, обладающего сине-фиолетовой окраской.</w:t>
      </w:r>
    </w:p>
    <w:p>
      <w:pPr>
        <w:spacing w:after="0" w:line="360" w:lineRule="auto"/>
        <w:ind w:firstLine="567"/>
        <w:rPr>
          <w:rFonts w:ascii="Times New Roman" w:hAnsi="Times New Roman" w:eastAsia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t xml:space="preserve">Аппаратура и реактивы: </w:t>
      </w:r>
    </w:p>
    <w:p>
      <w:pPr>
        <w:numPr>
          <w:numId w:val="1"/>
          <w:ilvl w:val="1"/>
        </w:numPr>
        <w:spacing w:after="0" w:line="360" w:lineRule="auto"/>
        <w:ind w:left="0" w:firstLine="709"/>
        <w:contextualSpacing/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Хроматографическая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колонка</w:t>
      </w:r>
    </w:p>
    <w:p>
      <w:pPr>
        <w:numPr>
          <w:numId w:val="1"/>
          <w:ilvl w:val="1"/>
        </w:numPr>
        <w:spacing w:after="0" w:line="360" w:lineRule="auto"/>
        <w:ind w:left="0" w:firstLine="709"/>
        <w:contextualSpacing/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Спектрофотометр</w:t>
      </w:r>
    </w:p>
    <w:p>
      <w:pPr>
        <w:numPr>
          <w:numId w:val="1"/>
          <w:ilvl w:val="1"/>
        </w:numPr>
        <w:spacing w:after="0" w:line="360" w:lineRule="auto"/>
        <w:ind w:left="0" w:firstLine="709"/>
        <w:contextualSpacing/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Набор кювет</w:t>
      </w:r>
    </w:p>
    <w:p>
      <w:pPr>
        <w:numPr>
          <w:numId w:val="1"/>
          <w:ilvl w:val="1"/>
        </w:numPr>
        <w:spacing w:after="0" w:line="360" w:lineRule="auto"/>
        <w:ind w:left="0" w:firstLine="709"/>
        <w:contextualSpacing/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Колба мерная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val="en-US" w:eastAsia="ru-RU"/>
        </w:rPr>
        <w:t xml:space="preserve">2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0,00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; 50,00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см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vertAlign w:val="superscript"/>
          <w:lang w:eastAsia="ru-RU"/>
        </w:rPr>
        <w:t xml:space="preserve">3 </w:t>
      </w:r>
    </w:p>
    <w:p>
      <w:pPr>
        <w:numPr>
          <w:numId w:val="1"/>
          <w:ilvl w:val="1"/>
        </w:numPr>
        <w:spacing w:after="0" w:line="360" w:lineRule="auto"/>
        <w:ind w:left="0" w:firstLine="709"/>
        <w:contextualSpacing/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Конические колбы вместимостью 500 см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vertAlign w:val="superscript"/>
          <w:lang w:eastAsia="ru-RU"/>
        </w:rPr>
        <w:t xml:space="preserve">3</w:t>
      </w:r>
    </w:p>
    <w:p>
      <w:pPr>
        <w:numPr>
          <w:numId w:val="1"/>
          <w:ilvl w:val="1"/>
        </w:numPr>
        <w:spacing w:after="0" w:line="360" w:lineRule="auto"/>
        <w:ind w:left="0" w:firstLine="709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Пипетка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с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делениями,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вместимостью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5,00;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25,00 см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vertAlign w:val="superscript"/>
          <w:lang w:eastAsia="ru-RU"/>
        </w:rPr>
        <w:t xml:space="preserve">3</w:t>
      </w:r>
    </w:p>
    <w:p>
      <w:pPr>
        <w:numPr>
          <w:numId w:val="1"/>
          <w:ilvl w:val="1"/>
        </w:numPr>
        <w:spacing w:after="0" w:line="360" w:lineRule="auto"/>
        <w:ind w:left="0" w:firstLine="709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Пипетка Мора, вместимостью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2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,00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см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vertAlign w:val="superscript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.</w:t>
      </w:r>
    </w:p>
    <w:p>
      <w:pPr>
        <w:numPr>
          <w:numId w:val="1"/>
          <w:ilvl w:val="1"/>
        </w:numPr>
        <w:spacing w:after="0" w:line="360" w:lineRule="auto"/>
        <w:ind w:left="0" w:firstLine="709"/>
        <w:contextualSpacing/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Химический стакан объем 50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; 600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см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vertAlign w:val="superscript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ab/>
      </w:r>
    </w:p>
    <w:p>
      <w:pPr>
        <w:numPr>
          <w:numId w:val="1"/>
          <w:ilvl w:val="1"/>
        </w:numPr>
        <w:spacing w:after="0" w:line="360" w:lineRule="auto"/>
        <w:ind w:left="0" w:firstLine="709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Пробирки</w:t>
      </w:r>
    </w:p>
    <w:p>
      <w:pPr>
        <w:numPr>
          <w:numId w:val="1"/>
          <w:ilvl w:val="1"/>
        </w:numPr>
        <w:spacing w:after="0" w:line="360" w:lineRule="auto"/>
        <w:ind w:left="0" w:firstLine="709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Пипетки Пастера </w:t>
      </w:r>
    </w:p>
    <w:p>
      <w:pPr>
        <w:numPr>
          <w:numId w:val="1"/>
          <w:ilvl w:val="1"/>
        </w:numPr>
        <w:spacing w:after="0" w:line="360" w:lineRule="auto"/>
        <w:ind w:left="0" w:firstLine="709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Раствор соляной кислоты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2М</w:t>
      </w:r>
    </w:p>
    <w:p>
      <w:pPr>
        <w:numPr>
          <w:numId w:val="1"/>
          <w:ilvl w:val="1"/>
        </w:numPr>
        <w:spacing w:after="0" w:line="360" w:lineRule="auto"/>
        <w:ind w:left="0" w:firstLine="709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Стандар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тный раствор меди с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концентрацией  2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мг/см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vertAlign w:val="superscript"/>
          <w:lang w:eastAsia="ru-RU"/>
        </w:rPr>
        <w:t xml:space="preserve">3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vertAlign w:val="superscript"/>
          <w:lang w:eastAsia="ru-RU"/>
        </w:rPr>
        <w:t xml:space="preserve"> </w:t>
      </w:r>
    </w:p>
    <w:p>
      <w:pPr>
        <w:numPr>
          <w:numId w:val="1"/>
          <w:ilvl w:val="1"/>
        </w:numPr>
        <w:spacing w:after="0" w:line="360" w:lineRule="auto"/>
        <w:ind w:left="0" w:firstLine="709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Раствор аммиака с концентрацией 25%</w:t>
      </w:r>
    </w:p>
    <w:p>
      <w:pPr>
        <w:numPr>
          <w:numId w:val="1"/>
          <w:ilvl w:val="1"/>
        </w:numPr>
        <w:spacing w:after="0" w:line="360" w:lineRule="auto"/>
        <w:ind w:left="0" w:firstLine="709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Индикатор - метиловый оранжевый.</w:t>
      </w:r>
    </w:p>
    <w:p>
      <w:pPr>
        <w:numPr>
          <w:numId w:val="1"/>
          <w:ilvl w:val="1"/>
        </w:numPr>
        <w:spacing w:after="0" w:line="360" w:lineRule="auto"/>
        <w:ind w:left="0" w:firstLine="709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Воронка</w:t>
      </w:r>
    </w:p>
    <w:p>
      <w:pPr>
        <w:numPr>
          <w:numId w:val="1"/>
          <w:ilvl w:val="1"/>
        </w:numPr>
        <w:spacing w:after="0" w:line="360" w:lineRule="auto"/>
        <w:ind w:left="0" w:firstLine="709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Мерные цилиндры вместимостью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25,0;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50,0 см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vertAlign w:val="superscript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100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см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</w:p>
    <w:p>
      <w:pPr>
        <w:numPr>
          <w:numId w:val="1"/>
          <w:ilvl w:val="1"/>
        </w:numPr>
        <w:spacing w:after="0" w:line="360" w:lineRule="auto"/>
        <w:ind w:left="0" w:firstLine="709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Анализируемая проба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spacing w:after="0" w:line="360" w:lineRule="auto"/>
        <w:ind w:firstLine="567"/>
        <w:contextualSpacing/>
        <w:rPr>
          <w:rFonts w:ascii="Times New Roman" w:hAnsi="Times New Roman" w:eastAsia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</w:r>
    </w:p>
    <w:p>
      <w:pPr>
        <w:spacing w:after="0" w:line="360" w:lineRule="auto"/>
        <w:ind w:firstLine="567"/>
        <w:contextualSpacing/>
        <w:rPr>
          <w:rFonts w:ascii="Times New Roman" w:hAnsi="Times New Roman" w:eastAsia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t xml:space="preserve">Переведение катионита</w:t>
      </w:r>
      <w:r>
        <w:rPr>
          <w:rFonts w:ascii="Times New Roman" w:hAnsi="Times New Roman" w:eastAsia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t xml:space="preserve"> в Н</w:t>
      </w:r>
      <w:r>
        <w:rPr>
          <w:rFonts w:ascii="Times New Roman" w:hAnsi="Times New Roman" w:eastAsia="Times New Roman" w:cs="Times New Roman"/>
          <w:b/>
          <w:spacing w:val="1"/>
          <w:sz w:val="28"/>
          <w:szCs w:val="28"/>
          <w:shd w:val="clear" w:color="auto" w:fill="ffffff"/>
          <w:vertAlign w:val="superscript"/>
          <w:lang w:eastAsia="ru-RU"/>
        </w:rPr>
        <w:t xml:space="preserve">+</w:t>
      </w:r>
      <w:r>
        <w:rPr>
          <w:rFonts w:ascii="Times New Roman" w:hAnsi="Times New Roman" w:eastAsia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t xml:space="preserve">-форму</w:t>
      </w:r>
    </w:p>
    <w:p>
      <w:pPr>
        <w:pStyle w:val="604"/>
        <w:numPr>
          <w:numId w:val="1"/>
          <w:ilvl w:val="4"/>
        </w:numPr>
        <w:spacing w:after="0" w:line="360" w:lineRule="auto"/>
        <w:jc w:val="both"/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Для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этого через колонку пропускают 20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0 см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vertAlign w:val="superscript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2 М раствора соляной кислоты, одновременно сливают жидкость через носик колонки. Сливание прекращают, когда уровень кислоты станет на 2 см выше зерен катионита в колонке.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остепенно промывают колонку дистиллированной водой до нейтральной реакции по метиловому оранжевому.</w:t>
      </w:r>
    </w:p>
    <w:p>
      <w:pPr>
        <w:pStyle w:val="604"/>
        <w:spacing w:after="0" w:line="360" w:lineRule="auto"/>
        <w:ind w:left="0"/>
        <w:jc w:val="both"/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</w:r>
    </w:p>
    <w:p>
      <w:pPr>
        <w:spacing w:after="0" w:line="360" w:lineRule="auto"/>
        <w:ind w:firstLine="567"/>
        <w:rPr>
          <w:rFonts w:ascii="Times New Roman" w:hAnsi="Times New Roman" w:eastAsia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t xml:space="preserve">Проведение ионного обмена</w:t>
      </w:r>
    </w:p>
    <w:p>
      <w:pPr>
        <w:pStyle w:val="604"/>
        <w:numPr>
          <w:numId w:val="1"/>
          <w:ilvl w:val="2"/>
        </w:numPr>
        <w:spacing w:after="0" w:line="360" w:lineRule="auto"/>
        <w:ind w:firstLine="567"/>
        <w:jc w:val="both"/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Анализируемый раствор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объемом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25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,00 см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vertAlign w:val="superscript"/>
          <w:lang w:eastAsia="ru-RU"/>
        </w:rPr>
        <w:t xml:space="preserve">3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пропускают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через колонку. Скорость прохождения раствора 1-2 капли в секунду. Жидкость в колонке поддерживают на одном уровне, подливая дистиллированную воду. Фильтрат собирают в коничес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кую колбу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или стакан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. Промывание продолжают до исчезновения кислой реакции по метиловому оранжевому.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П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олученный фильтрат утилизируют в слив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.</w:t>
      </w:r>
    </w:p>
    <w:p>
      <w:pPr>
        <w:pStyle w:val="604"/>
        <w:numPr>
          <w:numId w:val="1"/>
          <w:ilvl w:val="0"/>
        </w:numPr>
        <w:spacing w:after="0" w:line="360" w:lineRule="auto"/>
        <w:ind w:firstLine="567"/>
        <w:jc w:val="both"/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После этого в колонку вносят 6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0 см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vertAlign w:val="superscript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2 М раствора соляной кислоты и промывают колонку водой (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около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15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0 см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vertAlign w:val="superscript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). Фильтрат из колонки собирают в мерную колбу вместимостью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25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0,00 см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vertAlign w:val="superscript"/>
          <w:lang w:eastAsia="ru-RU"/>
        </w:rPr>
        <w:t xml:space="preserve">3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и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доводят до метки.</w:t>
      </w:r>
    </w:p>
    <w:p>
      <w:pPr>
        <w:spacing w:after="0" w:line="360" w:lineRule="auto"/>
        <w:ind w:firstLine="567"/>
        <w:jc w:val="both"/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Хроматографическую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колонку можно использовать мног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ократно, не проводя регенерацию, так как при элюировании меди (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val="en-US" w:eastAsia="ru-RU"/>
        </w:rPr>
        <w:t xml:space="preserve">II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соляной кислотой катионит переходит в Н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vertAlign w:val="superscript"/>
          <w:lang w:eastAsia="ru-RU"/>
        </w:rPr>
        <w:t xml:space="preserve">+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форму.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Ана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лиз пробы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проводят два раза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(анализ начинать с п 2).</w:t>
      </w:r>
    </w:p>
    <w:p>
      <w:pPr>
        <w:spacing w:after="0" w:line="360" w:lineRule="auto"/>
        <w:ind w:firstLine="567"/>
        <w:jc w:val="both"/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</w:r>
    </w:p>
    <w:p>
      <w:pPr>
        <w:spacing w:after="0" w:line="360" w:lineRule="auto"/>
        <w:ind w:firstLine="567"/>
        <w:rPr>
          <w:rFonts w:ascii="Times New Roman" w:hAnsi="Times New Roman" w:eastAsia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t xml:space="preserve">Фотометрическое определение меди</w:t>
      </w:r>
      <w:r>
        <w:rPr>
          <w:rFonts w:ascii="Times New Roman" w:hAnsi="Times New Roman" w:eastAsia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t xml:space="preserve"> в исследуемой пробе</w:t>
      </w:r>
    </w:p>
    <w:p>
      <w:pPr>
        <w:spacing w:after="0" w:line="360" w:lineRule="auto"/>
        <w:ind w:firstLine="567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Анализируют две полученные</w:t>
      </w:r>
      <w:r>
        <w:rPr>
          <w:rFonts w:ascii="Times New Roman" w:hAnsi="Times New Roman" w:eastAsia="Calibri" w:cs="Times New Roman"/>
          <w:sz w:val="28"/>
          <w:szCs w:val="28"/>
        </w:rPr>
        <w:t xml:space="preserve"> пробы. </w:t>
      </w:r>
    </w:p>
    <w:p>
      <w:pPr>
        <w:spacing w:after="0" w:line="360" w:lineRule="auto"/>
        <w:ind w:firstLine="567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мерную колбу вместимостью 50,00 см</w:t>
      </w:r>
      <w:r>
        <w:rPr>
          <w:rFonts w:ascii="Times New Roman" w:hAnsi="Times New Roman" w:eastAsia="Calibri" w:cs="Times New Roman"/>
          <w:sz w:val="28"/>
          <w:szCs w:val="28"/>
          <w:vertAlign w:val="superscript"/>
        </w:rPr>
        <w:t xml:space="preserve">3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</w:t>
      </w:r>
      <w:r>
        <w:rPr>
          <w:rFonts w:ascii="Times New Roman" w:hAnsi="Times New Roman" w:eastAsia="Calibri" w:cs="Times New Roman"/>
          <w:sz w:val="28"/>
          <w:szCs w:val="28"/>
        </w:rPr>
        <w:t xml:space="preserve">тбирают пипеткой 2</w:t>
      </w:r>
      <w:r>
        <w:rPr>
          <w:rFonts w:ascii="Times New Roman" w:hAnsi="Times New Roman" w:eastAsia="Calibri" w:cs="Times New Roman"/>
          <w:sz w:val="28"/>
          <w:szCs w:val="28"/>
        </w:rPr>
        <w:t xml:space="preserve">5</w:t>
      </w:r>
      <w:r>
        <w:rPr>
          <w:rFonts w:ascii="Times New Roman" w:hAnsi="Times New Roman" w:eastAsia="Calibri" w:cs="Times New Roman"/>
          <w:sz w:val="28"/>
          <w:szCs w:val="28"/>
        </w:rPr>
        <w:t xml:space="preserve">,00 см</w:t>
      </w:r>
      <w:r>
        <w:rPr>
          <w:rFonts w:ascii="Times New Roman" w:hAnsi="Times New Roman" w:eastAsia="Calibri" w:cs="Times New Roman"/>
          <w:sz w:val="28"/>
          <w:szCs w:val="28"/>
          <w:vertAlign w:val="superscript"/>
        </w:rPr>
        <w:t xml:space="preserve">3 </w:t>
      </w:r>
      <w:r>
        <w:rPr>
          <w:rFonts w:ascii="Times New Roman" w:hAnsi="Times New Roman" w:eastAsia="Calibri" w:cs="Times New Roman"/>
          <w:sz w:val="28"/>
          <w:szCs w:val="28"/>
        </w:rPr>
        <w:t xml:space="preserve"> полученного</w:t>
      </w:r>
      <w:r>
        <w:rPr>
          <w:rFonts w:ascii="Times New Roman" w:hAnsi="Times New Roman" w:eastAsia="Calibri" w:cs="Times New Roman"/>
          <w:sz w:val="28"/>
          <w:szCs w:val="28"/>
        </w:rPr>
        <w:t xml:space="preserve"> раствора в п.3 , добавляют 15,0 см</w:t>
      </w:r>
      <w:r>
        <w:rPr>
          <w:rFonts w:ascii="Times New Roman" w:hAnsi="Times New Roman" w:eastAsia="Calibri" w:cs="Times New Roman"/>
          <w:sz w:val="28"/>
          <w:szCs w:val="28"/>
          <w:vertAlign w:val="superscript"/>
        </w:rPr>
        <w:t xml:space="preserve">3 </w:t>
      </w:r>
      <w:r>
        <w:rPr>
          <w:rFonts w:ascii="Times New Roman" w:hAnsi="Times New Roman" w:eastAsia="Calibri" w:cs="Times New Roman"/>
          <w:sz w:val="28"/>
          <w:szCs w:val="28"/>
        </w:rPr>
        <w:t xml:space="preserve"> раствора аммиака, доводят раствор до метки.</w:t>
      </w:r>
      <w:r>
        <w:rPr>
          <w:rFonts w:ascii="Times New Roman" w:hAnsi="Times New Roman" w:eastAsia="Calibri" w:cs="Times New Roman"/>
          <w:sz w:val="28"/>
          <w:szCs w:val="28"/>
        </w:rPr>
        <w:t xml:space="preserve"> Выдерживают пробу 5-10 минут (комплекс устойчив в течение часа). </w:t>
      </w:r>
      <w:r>
        <w:rPr>
          <w:rFonts w:ascii="Times New Roman" w:hAnsi="Times New Roman" w:eastAsia="Calibri" w:cs="Times New Roman"/>
          <w:sz w:val="28"/>
          <w:szCs w:val="28"/>
        </w:rPr>
        <w:t xml:space="preserve">Измеряют оптическую плотность </w:t>
      </w:r>
      <w:r>
        <w:rPr>
          <w:rFonts w:ascii="Times New Roman" w:hAnsi="Times New Roman" w:eastAsia="Calibri" w:cs="Times New Roman"/>
          <w:sz w:val="28"/>
          <w:szCs w:val="28"/>
        </w:rPr>
        <w:t xml:space="preserve">растворов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А</w:t>
      </w:r>
      <w:r>
        <w:rPr>
          <w:rFonts w:ascii="Times New Roman" w:hAnsi="Times New Roman" w:eastAsia="Calibri" w:cs="Times New Roman"/>
          <w:sz w:val="28"/>
          <w:szCs w:val="28"/>
          <w:vertAlign w:val="subscript"/>
        </w:rPr>
        <w:t xml:space="preserve">х</w:t>
      </w:r>
      <w:r>
        <w:rPr>
          <w:rFonts w:ascii="Times New Roman" w:hAnsi="Times New Roman" w:eastAsia="Calibri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  при длине волны </w:t>
      </w:r>
      <w:r>
        <w:rPr>
          <w:rFonts w:ascii="Times New Roman" w:hAnsi="Times New Roman" w:eastAsia="Calibri" w:cs="Times New Roman"/>
          <w:sz w:val="28"/>
          <w:szCs w:val="28"/>
        </w:rPr>
        <w:t xml:space="preserve">620 </w:t>
      </w:r>
      <w:r>
        <w:rPr>
          <w:rFonts w:ascii="Times New Roman" w:hAnsi="Times New Roman" w:eastAsia="Calibri" w:cs="Times New Roman"/>
          <w:sz w:val="28"/>
          <w:szCs w:val="28"/>
        </w:rPr>
        <w:t xml:space="preserve">нм</w:t>
      </w:r>
      <w:r>
        <w:rPr>
          <w:rFonts w:ascii="Times New Roman" w:hAnsi="Times New Roman" w:eastAsia="Calibri" w:cs="Times New Roman"/>
          <w:sz w:val="28"/>
          <w:szCs w:val="28"/>
        </w:rPr>
        <w:t xml:space="preserve">,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 кювете толщиной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поглощающего слоя</w:t>
      </w:r>
      <w:r>
        <w:rPr>
          <w:rFonts w:ascii="Times New Roman" w:hAnsi="Times New Roman" w:eastAsia="Calibri" w:cs="Times New Roman"/>
          <w:sz w:val="28"/>
          <w:szCs w:val="28"/>
        </w:rPr>
        <w:t xml:space="preserve"> 50 мм</w:t>
      </w:r>
      <w:r>
        <w:rPr>
          <w:rFonts w:ascii="Times New Roman" w:hAnsi="Times New Roman" w:eastAsia="Calibri" w:cs="Times New Roman"/>
          <w:sz w:val="28"/>
          <w:szCs w:val="28"/>
        </w:rPr>
        <w:t xml:space="preserve">, относительно дистиллированной воды.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Для определения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оптической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п</w:t>
      </w:r>
      <w:r>
        <w:rPr>
          <w:rFonts w:ascii="Times New Roman" w:hAnsi="Times New Roman" w:eastAsia="Calibri" w:cs="Times New Roman"/>
          <w:sz w:val="28"/>
          <w:szCs w:val="28"/>
        </w:rPr>
        <w:t xml:space="preserve">лотности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стандартного раствора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 мерную колбу вместимостью 50,00 см</w:t>
      </w:r>
      <w:r>
        <w:rPr>
          <w:rFonts w:ascii="Times New Roman" w:hAnsi="Times New Roman" w:eastAsia="Calibri" w:cs="Times New Roman"/>
          <w:sz w:val="28"/>
          <w:szCs w:val="28"/>
          <w:vertAlign w:val="superscript"/>
        </w:rPr>
        <w:t xml:space="preserve">3</w:t>
      </w:r>
      <w:r>
        <w:rPr>
          <w:rFonts w:ascii="Times New Roman" w:hAnsi="Times New Roman" w:eastAsia="Calibri" w:cs="Times New Roman"/>
          <w:sz w:val="28"/>
          <w:szCs w:val="28"/>
        </w:rPr>
        <w:t xml:space="preserve">, добавляют </w:t>
      </w:r>
      <w:r>
        <w:rPr>
          <w:rFonts w:ascii="Times New Roman" w:hAnsi="Times New Roman" w:eastAsia="Calibri" w:cs="Times New Roman"/>
          <w:sz w:val="28"/>
          <w:szCs w:val="28"/>
        </w:rPr>
        <w:t xml:space="preserve">3</w:t>
      </w:r>
      <w:r>
        <w:rPr>
          <w:rFonts w:ascii="Times New Roman" w:hAnsi="Times New Roman" w:eastAsia="Calibri" w:cs="Times New Roman"/>
          <w:sz w:val="28"/>
          <w:szCs w:val="28"/>
        </w:rPr>
        <w:t xml:space="preserve">,00 см</w:t>
      </w:r>
      <w:r>
        <w:rPr>
          <w:rFonts w:ascii="Times New Roman" w:hAnsi="Times New Roman" w:eastAsia="Calibri" w:cs="Times New Roman"/>
          <w:sz w:val="28"/>
          <w:szCs w:val="28"/>
          <w:vertAlign w:val="superscript"/>
        </w:rPr>
        <w:t xml:space="preserve">3 </w:t>
      </w:r>
      <w:r>
        <w:rPr>
          <w:rFonts w:ascii="Times New Roman" w:hAnsi="Times New Roman" w:eastAsia="Calibri" w:cs="Times New Roman"/>
          <w:sz w:val="28"/>
          <w:szCs w:val="28"/>
        </w:rPr>
        <w:t xml:space="preserve">стандартного раствора меди с концентрацией 2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мг/см</w:t>
      </w:r>
      <w:r>
        <w:rPr>
          <w:rFonts w:ascii="Times New Roman" w:hAnsi="Times New Roman" w:eastAsia="Calibri" w:cs="Times New Roman"/>
          <w:sz w:val="28"/>
          <w:szCs w:val="28"/>
          <w:vertAlign w:val="superscript"/>
        </w:rPr>
        <w:t xml:space="preserve">3</w:t>
      </w:r>
      <w:r>
        <w:rPr>
          <w:rFonts w:ascii="Times New Roman" w:hAnsi="Times New Roman" w:eastAsia="Calibri" w:cs="Times New Roman"/>
          <w:sz w:val="28"/>
          <w:szCs w:val="28"/>
        </w:rPr>
        <w:t xml:space="preserve">, 15,0 см</w:t>
      </w:r>
      <w:r>
        <w:rPr>
          <w:rFonts w:ascii="Times New Roman" w:hAnsi="Times New Roman" w:eastAsia="Calibri" w:cs="Times New Roman"/>
          <w:sz w:val="28"/>
          <w:szCs w:val="28"/>
          <w:vertAlign w:val="superscript"/>
        </w:rPr>
        <w:t xml:space="preserve">3 </w:t>
      </w:r>
      <w:r>
        <w:rPr>
          <w:rFonts w:ascii="Times New Roman" w:hAnsi="Times New Roman" w:eastAsia="Calibri" w:cs="Times New Roman"/>
          <w:sz w:val="28"/>
          <w:szCs w:val="28"/>
        </w:rPr>
        <w:t xml:space="preserve"> раствора</w:t>
      </w:r>
      <w:r>
        <w:rPr>
          <w:rFonts w:ascii="Times New Roman" w:hAnsi="Times New Roman" w:eastAsia="Calibri" w:cs="Times New Roman"/>
          <w:sz w:val="28"/>
          <w:szCs w:val="28"/>
        </w:rPr>
        <w:t xml:space="preserve"> аммиака и доводят до метки водой.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Выдерживают раствор 5-10 минут.</w:t>
      </w:r>
      <w:r>
        <w:rPr>
          <w:rFonts w:ascii="Times New Roman" w:hAnsi="Times New Roman" w:eastAsia="Calibri" w:cs="Times New Roman"/>
          <w:sz w:val="28"/>
          <w:szCs w:val="28"/>
        </w:rPr>
        <w:t xml:space="preserve"> Измеряют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оптическую плотность </w:t>
      </w:r>
      <w:r>
        <w:rPr>
          <w:rFonts w:ascii="Times New Roman" w:hAnsi="Times New Roman" w:eastAsia="Calibri" w:cs="Times New Roman"/>
          <w:sz w:val="28"/>
          <w:szCs w:val="28"/>
        </w:rPr>
        <w:t xml:space="preserve">А</w:t>
      </w:r>
      <w:r>
        <w:rPr>
          <w:rFonts w:ascii="Times New Roman" w:hAnsi="Times New Roman" w:eastAsia="Calibri" w:cs="Times New Roman"/>
          <w:sz w:val="28"/>
          <w:szCs w:val="28"/>
          <w:vertAlign w:val="subscript"/>
        </w:rPr>
        <w:t xml:space="preserve">ст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 условиях, </w:t>
      </w:r>
      <w:r>
        <w:rPr>
          <w:rFonts w:ascii="Times New Roman" w:hAnsi="Times New Roman" w:eastAsia="Calibri" w:cs="Times New Roman"/>
          <w:sz w:val="28"/>
          <w:szCs w:val="28"/>
        </w:rPr>
        <w:t xml:space="preserve">указанных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для </w:t>
      </w:r>
      <w:r>
        <w:rPr>
          <w:rFonts w:ascii="Times New Roman" w:hAnsi="Times New Roman" w:eastAsia="Calibri" w:cs="Times New Roman"/>
          <w:sz w:val="28"/>
          <w:szCs w:val="28"/>
        </w:rPr>
        <w:t xml:space="preserve">анализируемой пробы</w:t>
      </w:r>
      <w:r>
        <w:rPr>
          <w:rFonts w:ascii="Times New Roman" w:hAnsi="Times New Roman" w:eastAsia="Calibri" w:cs="Times New Roman"/>
          <w:sz w:val="28"/>
          <w:szCs w:val="28"/>
        </w:rPr>
        <w:t xml:space="preserve">.</w:t>
      </w:r>
    </w:p>
    <w:p>
      <w:pPr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shd w:val="clear" w:color="auto" w:fill="ffffff"/>
          <w:lang w:eastAsia="ru-RU"/>
        </w:rPr>
      </w:r>
    </w:p>
    <w:p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Массовую</w:t>
      </w:r>
      <w:r>
        <w:rPr>
          <w:rFonts w:ascii="Times New Roman" w:hAnsi="Times New Roman" w:cs="Times New Roman"/>
          <w:sz w:val="28"/>
          <w:szCs w:val="28"/>
        </w:rPr>
        <w:t xml:space="preserve"> концент</w:t>
      </w:r>
      <w:r>
        <w:rPr>
          <w:rFonts w:ascii="Times New Roman" w:hAnsi="Times New Roman" w:cs="Times New Roman"/>
          <w:sz w:val="28"/>
          <w:szCs w:val="28"/>
        </w:rPr>
        <w:t xml:space="preserve">рацию</w:t>
      </w:r>
      <w:r>
        <w:rPr>
          <w:rFonts w:ascii="Times New Roman" w:hAnsi="Times New Roman" w:cs="Times New Roman"/>
          <w:sz w:val="28"/>
          <w:szCs w:val="28"/>
        </w:rPr>
        <w:t xml:space="preserve"> меди</w:t>
      </w:r>
      <w:r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  <w:t xml:space="preserve">мг/см</w:t>
      </w:r>
      <w:r>
        <w:rPr>
          <w:rFonts w:ascii="Times New Roman" w:hAnsi="Times New Roman" w:eastAsia="Times New Roman" w:cs="Times New Roman"/>
          <w:iCs/>
          <w:sz w:val="28"/>
          <w:szCs w:val="28"/>
          <w:vertAlign w:val="superscript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вычисляют по формуле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spacing w:after="0" w:line="276" w:lineRule="auto"/>
        <w:jc w:val="both"/>
        <w:rPr>
          <w:rFonts w:ascii="Times New Roman" w:hAnsi="Times New Roman" w:cs="Times New Roman" w:eastAsiaTheme="minorEastAsia"/>
          <w:sz w:val="28"/>
          <w:szCs w:val="28"/>
        </w:rPr>
      </w:pPr>
      <m:oMathPara>
        <m:oMathParaPr/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А</m:t>
                  </m:r>
                </m:e>
                <m:sub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ст</m:t>
                  </m:r>
                </m:sub>
              </m:sSub>
            </m:den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А</m:t>
                  </m:r>
                </m:e>
                <m:sub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х</m:t>
                  </m:r>
                </m:sub>
              </m:sSub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 </m:t>
              </m:r>
            </m:num>
          </m:f>
          <m:r>
            <m:rPr/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С</m:t>
                  </m:r>
                </m:e>
                <m:sub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ст</m:t>
                  </m:r>
                </m:sub>
              </m:sSub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 </m:t>
              </m:r>
            </m:den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С</m:t>
                  </m:r>
                </m:e>
                <m:sub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х</m:t>
                  </m:r>
                </m:sub>
              </m:sSub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 </m:t>
              </m:r>
            </m:num>
          </m:f>
        </m:oMath>
      </m:oMathPara>
    </w:p>
    <w:p>
      <w:pPr>
        <w:spacing w:after="0" w:line="276" w:lineRule="auto"/>
        <w:jc w:val="both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г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де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: А</w:t>
      </w:r>
      <w:r>
        <w:rPr>
          <w:rFonts w:ascii="Times New Roman" w:hAnsi="Times New Roman" w:cs="Times New Roman" w:eastAsiaTheme="minorEastAsia"/>
          <w:sz w:val="28"/>
          <w:szCs w:val="28"/>
          <w:vertAlign w:val="subscript"/>
        </w:rPr>
        <w:t xml:space="preserve">х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- оптическая плотность 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анализируемого  раствора</w:t>
      </w:r>
    </w:p>
    <w:p>
      <w:pPr>
        <w:spacing w:after="0" w:line="360" w:lineRule="auto"/>
        <w:jc w:val="both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А</w:t>
      </w:r>
      <w:r>
        <w:rPr>
          <w:rFonts w:ascii="Times New Roman" w:hAnsi="Times New Roman" w:cs="Times New Roman" w:eastAsiaTheme="minorEastAsia"/>
          <w:sz w:val="28"/>
          <w:szCs w:val="28"/>
          <w:vertAlign w:val="subscript"/>
        </w:rPr>
        <w:t xml:space="preserve">ст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 –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среднее значение 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оптическ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ой 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 плотност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и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для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 двух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 стандартн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ых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 раствор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ов</w:t>
      </w:r>
    </w:p>
    <w:p>
      <w:pPr>
        <w:spacing w:after="0" w:line="360" w:lineRule="auto"/>
        <w:jc w:val="both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С</w:t>
      </w:r>
      <w:r>
        <w:rPr>
          <w:rFonts w:ascii="Times New Roman" w:hAnsi="Times New Roman" w:cs="Times New Roman" w:eastAsiaTheme="minorEastAsia"/>
          <w:sz w:val="28"/>
          <w:szCs w:val="28"/>
          <w:vertAlign w:val="subscript"/>
        </w:rPr>
        <w:t xml:space="preserve">х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 –массовая концентрация анализируемого раствора С</w:t>
      </w:r>
      <w:r>
        <w:rPr>
          <w:rFonts w:ascii="Times New Roman" w:hAnsi="Times New Roman" w:cs="Times New Roman" w:eastAsiaTheme="minorEastAsia"/>
          <w:sz w:val="28"/>
          <w:szCs w:val="28"/>
          <w:lang w:val="en-US"/>
        </w:rPr>
        <w:t xml:space="preserve">u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EastAsia"/>
          <w:sz w:val="28"/>
          <w:szCs w:val="28"/>
          <w:vertAlign w:val="superscript"/>
        </w:rPr>
        <w:t xml:space="preserve">2+</w:t>
      </w:r>
      <w:r>
        <w:rPr>
          <w:rFonts w:ascii="Times New Roman" w:hAnsi="Times New Roman" w:cs="Times New Roman" w:eastAsiaTheme="minorEastAsia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(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мг/с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м</w:t>
      </w:r>
      <w:r>
        <w:rPr>
          <w:rFonts w:ascii="Times New Roman" w:hAnsi="Times New Roman" w:cs="Times New Roman" w:eastAsiaTheme="minorEastAsia"/>
          <w:sz w:val="28"/>
          <w:szCs w:val="28"/>
          <w:vertAlign w:val="superscript"/>
        </w:rPr>
        <w:t xml:space="preserve">3 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)</w:t>
      </w:r>
    </w:p>
    <w:p>
      <w:pPr>
        <w:spacing w:after="0" w:line="360" w:lineRule="auto"/>
        <w:jc w:val="both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С</w:t>
      </w:r>
      <w:r>
        <w:rPr>
          <w:rFonts w:ascii="Times New Roman" w:hAnsi="Times New Roman" w:cs="Times New Roman" w:eastAsiaTheme="minorEastAsia"/>
          <w:sz w:val="28"/>
          <w:szCs w:val="28"/>
          <w:vertAlign w:val="subscript"/>
        </w:rPr>
        <w:t xml:space="preserve">ст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- массовая концентрация стандартного раствора С</w:t>
      </w:r>
      <w:r>
        <w:rPr>
          <w:rFonts w:ascii="Times New Roman" w:hAnsi="Times New Roman" w:cs="Times New Roman" w:eastAsiaTheme="minorEastAsia"/>
          <w:sz w:val="28"/>
          <w:szCs w:val="28"/>
          <w:lang w:val="en-US"/>
        </w:rPr>
        <w:t xml:space="preserve">u</w:t>
      </w:r>
      <w:r>
        <w:rPr>
          <w:rFonts w:ascii="Times New Roman" w:hAnsi="Times New Roman" w:cs="Times New Roman" w:eastAsiaTheme="minorEastAsia"/>
          <w:sz w:val="28"/>
          <w:szCs w:val="28"/>
          <w:vertAlign w:val="superscript"/>
        </w:rPr>
        <w:t xml:space="preserve">2+</w:t>
      </w:r>
      <w:r>
        <w:rPr>
          <w:rFonts w:ascii="Times New Roman" w:hAnsi="Times New Roman" w:cs="Times New Roman" w:eastAsiaTheme="minorEastAsia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(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мг/с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м</w:t>
      </w:r>
      <w:r>
        <w:rPr>
          <w:rFonts w:ascii="Times New Roman" w:hAnsi="Times New Roman" w:cs="Times New Roman" w:eastAsiaTheme="minorEastAsia"/>
          <w:sz w:val="28"/>
          <w:szCs w:val="28"/>
          <w:vertAlign w:val="superscript"/>
        </w:rPr>
        <w:t xml:space="preserve">3 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)</w:t>
      </w:r>
    </w:p>
    <w:p>
      <w:pPr>
        <w:spacing w:after="0" w:line="36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  <w:t xml:space="preserve">Массовую концентрацию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меди </w:t>
      </w:r>
      <w:r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  <w:t xml:space="preserve">мг/см</w:t>
      </w:r>
      <w:r>
        <w:rPr>
          <w:rFonts w:ascii="Times New Roman" w:hAnsi="Times New Roman" w:eastAsia="Times New Roman" w:cs="Times New Roman"/>
          <w:iCs/>
          <w:sz w:val="28"/>
          <w:szCs w:val="28"/>
          <w:vertAlign w:val="superscript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анализируемом растворе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рассчитывают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 учетом произведённых разбавлений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</w:p>
    <w:p>
      <w:pPr>
        <w:spacing w:after="0" w:line="360" w:lineRule="auto"/>
        <w:ind w:firstLine="567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 окончательный результат анализа принимают среднеарифметическое результат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ов двух измерений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допустимое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относительно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расхождение между которыми не превышает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25%.</w:t>
      </w:r>
    </w:p>
    <w:p>
      <w:pPr>
        <w:spacing w:after="0" w:line="360" w:lineRule="auto"/>
        <w:ind w:firstLine="567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Результат представляют</w:t>
      </w:r>
      <w:r>
        <w:rPr>
          <w:rFonts w:ascii="Times New Roman" w:hAnsi="Times New Roman" w:eastAsia="Calibri" w:cs="Times New Roman"/>
          <w:sz w:val="28"/>
          <w:szCs w:val="28"/>
        </w:rPr>
        <w:t xml:space="preserve"> в виде</w:t>
      </w:r>
    </w:p>
    <w:p>
      <w:pPr>
        <w:spacing w:after="0" w:line="360" w:lineRule="auto"/>
        <w:ind w:firstLine="567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x̅ ± ∆, мг/с</w:t>
      </w:r>
      <w:r>
        <w:rPr>
          <w:rFonts w:ascii="Times New Roman" w:hAnsi="Times New Roman" w:eastAsia="Calibri" w:cs="Times New Roman"/>
          <w:sz w:val="28"/>
          <w:szCs w:val="28"/>
        </w:rPr>
        <w:t xml:space="preserve">м</w:t>
      </w:r>
      <w:r>
        <w:rPr>
          <w:rFonts w:ascii="Times New Roman" w:hAnsi="Times New Roman" w:eastAsia="Calibri" w:cs="Times New Roman"/>
          <w:sz w:val="28"/>
          <w:szCs w:val="28"/>
          <w:vertAlign w:val="superscript"/>
        </w:rPr>
        <w:t xml:space="preserve">3</w:t>
      </w:r>
      <w:r>
        <w:rPr>
          <w:rFonts w:ascii="Times New Roman" w:hAnsi="Times New Roman" w:eastAsia="Calibri" w:cs="Times New Roman"/>
          <w:sz w:val="28"/>
          <w:szCs w:val="28"/>
        </w:rPr>
        <w:t xml:space="preserve"> при доверительной вероятности Р=0,95</w:t>
      </w:r>
    </w:p>
    <w:p>
      <w:pPr>
        <w:spacing w:after="0" w:line="36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∆= x̅</w:t>
      </w:r>
      <w:r>
        <w:rPr>
          <w:rFonts w:ascii="Times New Roman" w:hAnsi="Times New Roman" w:eastAsia="Calibri" w:cs="Times New Roman"/>
          <w:sz w:val="28"/>
          <w:szCs w:val="28"/>
        </w:rPr>
        <w:t xml:space="preserve"> *0,25</w:t>
      </w:r>
    </w:p>
    <w:p>
      <w:pPr>
        <w:spacing w:after="0" w:line="360" w:lineRule="auto"/>
        <w:ind w:firstLine="567"/>
        <w:jc w:val="both"/>
      </w:pPr>
      <w:r>
        <w:rPr>
          <w:rFonts w:ascii="Times New Roman" w:hAnsi="Times New Roman" w:eastAsia="Calibri" w:cs="Times New Roman"/>
          <w:spacing w:val="2"/>
          <w:sz w:val="28"/>
        </w:rPr>
        <w:t xml:space="preserve">О</w:t>
      </w:r>
      <w:r>
        <w:rPr>
          <w:rFonts w:ascii="Times New Roman" w:hAnsi="Times New Roman" w:eastAsia="Calibri" w:cs="Times New Roman"/>
          <w:spacing w:val="2"/>
          <w:sz w:val="28"/>
        </w:rPr>
        <w:t xml:space="preserve">кругляют</w:t>
      </w:r>
      <w:r>
        <w:rPr>
          <w:rFonts w:ascii="Times New Roman" w:hAnsi="Times New Roman" w:eastAsia="Calibri" w:cs="Times New Roman"/>
          <w:spacing w:val="2"/>
          <w:sz w:val="28"/>
        </w:rPr>
        <w:t xml:space="preserve"> результат </w:t>
      </w:r>
      <w:r>
        <w:rPr>
          <w:rFonts w:ascii="Times New Roman" w:hAnsi="Times New Roman" w:eastAsia="Calibri" w:cs="Times New Roman"/>
          <w:spacing w:val="2"/>
          <w:sz w:val="28"/>
        </w:rPr>
        <w:t xml:space="preserve">в</w:t>
      </w:r>
      <w:r>
        <w:rPr>
          <w:rFonts w:ascii="Times New Roman" w:hAnsi="Times New Roman" w:eastAsia="Calibri" w:cs="Times New Roman"/>
          <w:spacing w:val="2"/>
          <w:sz w:val="28"/>
        </w:rPr>
        <w:t xml:space="preserve"> соответствии с ГОСТ Р 8.736-2011 </w:t>
      </w:r>
      <w:r>
        <w:rPr>
          <w:rFonts w:ascii="Times New Roman" w:hAnsi="Times New Roman"/>
          <w:spacing w:val="2"/>
          <w:sz w:val="28"/>
        </w:rPr>
        <w:t xml:space="preserve">Государственная система обеспечения единства измерений. Методы обработки результатов измерений. Основные положения. </w:t>
      </w:r>
      <w:r>
        <w:rPr>
          <w:rFonts w:ascii="Times New Roman" w:hAnsi="Times New Roman" w:eastAsia="Calibri" w:cs="Times New Roman"/>
          <w:spacing w:val="2"/>
          <w:sz w:val="28"/>
        </w:rPr>
        <w:t xml:space="preserve">Приложение Е</w:t>
      </w:r>
      <w:r>
        <w:rPr>
          <w:rFonts w:ascii="Times New Roman" w:hAnsi="Times New Roman" w:eastAsia="Calibri" w:cs="Times New Roman"/>
          <w:spacing w:val="2"/>
          <w:sz w:val="28"/>
        </w:rPr>
        <w:t xml:space="preserve">.</w:t>
      </w:r>
    </w:p>
    <w:p>
      <w:pPr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br w:type="page" w:clear="all"/>
      </w:r>
    </w:p>
    <w:p>
      <w:pPr>
        <w:pStyle w:val="608"/>
        <w:shd w:val="clear" w:color="auto" w:fill="ffffff"/>
        <w:spacing w:before="0" w:beforeAutospacing="0" w:after="0" w:afterAutospacing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Е</w:t>
      </w:r>
    </w:p>
    <w:p>
      <w:pPr>
        <w:pStyle w:val="608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Правила округления при обработке результатов измерений</w:t>
      </w:r>
    </w:p>
    <w:p>
      <w:pPr>
        <w:pStyle w:val="609"/>
        <w:shd w:val="clear" w:color="auto" w:fill="ffffff"/>
        <w:spacing w:before="0" w:beforeAutospacing="0" w:after="0" w:afterAutospacing="0" w:line="360" w:lineRule="auto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Е.1 Точность результатов измерений и точность вычислений при обработке результатов измерений должны быть согласованы с требуемой точностью получаемой оценки измеряемой величины.</w:t>
      </w:r>
    </w:p>
    <w:p>
      <w:pPr>
        <w:pStyle w:val="609"/>
        <w:shd w:val="clear" w:color="auto" w:fill="ffffff"/>
        <w:spacing w:before="0" w:beforeAutospacing="0" w:after="0" w:afterAutospacing="0" w:line="360" w:lineRule="auto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Е.2 Погрешность оценки измеряемой величины следует выражать не более чем двумя значащими цифрами</w:t>
      </w:r>
    </w:p>
    <w:p>
      <w:pPr>
        <w:pStyle w:val="609"/>
        <w:shd w:val="clear" w:color="auto" w:fill="ffffff"/>
        <w:spacing w:before="0" w:beforeAutospacing="0" w:after="0" w:afterAutospacing="0" w:line="360" w:lineRule="auto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Две значащие цифры в погрешности оценки измеряемой величины сохраняют:</w:t>
      </w:r>
    </w:p>
    <w:p>
      <w:pPr>
        <w:pStyle w:val="609"/>
        <w:shd w:val="clear" w:color="auto" w:fill="ffffff"/>
        <w:spacing w:before="0" w:beforeAutospacing="0" w:after="0" w:afterAutospacing="0" w:line="360" w:lineRule="auto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точных измерениях;</w:t>
      </w:r>
    </w:p>
    <w:p>
      <w:pPr>
        <w:pStyle w:val="609"/>
        <w:shd w:val="clear" w:color="auto" w:fill="ffffff"/>
        <w:spacing w:before="0" w:beforeAutospacing="0" w:after="0" w:afterAutospacing="0" w:line="360" w:lineRule="auto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если первая значащая цифра не более трех.</w:t>
      </w:r>
    </w:p>
    <w:p>
      <w:pPr>
        <w:pStyle w:val="609"/>
        <w:shd w:val="clear" w:color="auto" w:fill="ffffff"/>
        <w:spacing w:before="0" w:beforeAutospacing="0" w:after="0" w:afterAutospacing="0" w:line="360" w:lineRule="auto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Е.3 Число цифр в промежуточных вычислениях при обработке результатов измерений должно быть на две больше, чем в окончательном результате.</w:t>
      </w:r>
    </w:p>
    <w:p>
      <w:pPr>
        <w:pStyle w:val="609"/>
        <w:shd w:val="clear" w:color="auto" w:fill="ffffff"/>
        <w:spacing w:before="0" w:beforeAutospacing="0" w:after="0" w:afterAutospacing="0" w:line="360" w:lineRule="auto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Сохраняемую, значащую цифру в погрешности оценки измеряемой величины при округлении увеличивают на единицу, если отбрасываемая цифра 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указываемого младшего разряда больше либо равна пяти, и не изменяют, если она меньше пяти.</w:t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color w:val="000000"/>
        <w:spacing w:val="1"/>
        <w:position w:val="0"/>
        <w:sz w:val="28"/>
        <w:szCs w:val="28"/>
        <w:u w:val="none"/>
      </w:rPr>
    </w:lvl>
    <w:lvl w:ilvl="1">
      <w:start w:val="1"/>
      <w:numFmt w:val="decimal"/>
      <w:isLgl w:val="false"/>
      <w:suff w:val="tab"/>
      <w:lvlText w:val="%2."/>
      <w:lvlJc w:val="left"/>
      <w:pPr>
        <w:ind w:left="142" w:firstLine="0"/>
      </w:pPr>
      <w:rPr>
        <w:rFonts w:hint="default" w:ascii="Times New Roman" w:hAnsi="Times New Roman" w:eastAsia="Times New Roman" w:cs="Times New Roman"/>
        <w:color w:val="000000"/>
        <w:spacing w:val="3"/>
        <w:position w:val="0"/>
        <w:sz w:val="21"/>
        <w:szCs w:val="21"/>
        <w:u w:val="none"/>
      </w:rPr>
    </w:lvl>
    <w:lvl w:ilvl="2">
      <w:start w:val="2"/>
      <w:numFmt w:val="decimal"/>
      <w:isLgl w:val="false"/>
      <w:suff w:val="tab"/>
      <w:lvlText w:val="%3."/>
      <w:lvlJc w:val="left"/>
      <w:pPr>
        <w:ind w:left="0" w:firstLine="0"/>
      </w:pPr>
      <w:rPr>
        <w:rFonts w:hint="default" w:ascii="Times New Roman" w:hAnsi="Times New Roman" w:eastAsia="Times New Roman" w:cs="Times New Roman"/>
        <w:color w:val="000000"/>
        <w:spacing w:val="1"/>
        <w:position w:val="0"/>
        <w:sz w:val="28"/>
        <w:szCs w:val="28"/>
        <w:u w:val="none"/>
      </w:rPr>
    </w:lvl>
    <w:lvl w:ilvl="3">
      <w:start w:val="2"/>
      <w:numFmt w:val="decimal"/>
      <w:isLgl w:val="false"/>
      <w:suff w:val="tab"/>
      <w:lvlText w:val="%4."/>
      <w:lvlJc w:val="left"/>
      <w:pPr>
        <w:ind w:left="0" w:firstLine="0"/>
      </w:pPr>
      <w:rPr>
        <w:rFonts w:hint="default" w:ascii="Times New Roman" w:hAnsi="Times New Roman" w:eastAsia="Times New Roman" w:cs="Times New Roman"/>
        <w:color w:val="000000"/>
        <w:spacing w:val="1"/>
        <w:position w:val="0"/>
        <w:sz w:val="21"/>
        <w:szCs w:val="21"/>
        <w:u w:val="none"/>
      </w:rPr>
    </w:lvl>
    <w:lvl w:ilvl="4">
      <w:start w:val="1"/>
      <w:numFmt w:val="decimal"/>
      <w:isLgl w:val="false"/>
      <w:suff w:val="tab"/>
      <w:lvlText w:val="%5."/>
      <w:lvlJc w:val="left"/>
      <w:pPr>
        <w:ind w:left="0" w:firstLine="0"/>
      </w:pPr>
      <w:rPr>
        <w:rFonts w:hint="default" w:ascii="Times New Roman" w:hAnsi="Times New Roman" w:eastAsia="Times New Roman" w:cs="Times New Roman"/>
        <w:color w:val="000000"/>
        <w:spacing w:val="1"/>
        <w:position w:val="0"/>
        <w:sz w:val="21"/>
        <w:szCs w:val="21"/>
        <w:u w:val="none"/>
      </w:rPr>
    </w:lvl>
    <w:lvl w:ilvl="5">
      <w:start w:val="2"/>
      <w:numFmt w:val="decimal"/>
      <w:isLgl w:val="false"/>
      <w:suff w:val="tab"/>
      <w:lvlText w:val="%6."/>
      <w:lvlJc w:val="left"/>
      <w:pPr>
        <w:ind w:left="0" w:firstLine="0"/>
      </w:pPr>
      <w:rPr>
        <w:rFonts w:hint="default" w:ascii="Times New Roman" w:hAnsi="Times New Roman" w:eastAsia="Times New Roman" w:cs="Times New Roman"/>
        <w:color w:val="000000"/>
        <w:spacing w:val="1"/>
        <w:position w:val="0"/>
        <w:sz w:val="21"/>
        <w:szCs w:val="21"/>
        <w:u w:val="none"/>
        <w:lang w:val="ru-RU"/>
      </w:rPr>
    </w:lvl>
    <w:lvl w:ilvl="6">
      <w:start w:val="3"/>
      <w:numFmt w:val="decimal"/>
      <w:isLgl w:val="false"/>
      <w:suff w:val="tab"/>
      <w:lvlText w:val="%7."/>
      <w:lvlJc w:val="left"/>
      <w:pPr>
        <w:ind w:left="0" w:firstLine="0"/>
      </w:pPr>
      <w:rPr>
        <w:rFonts w:hint="default" w:ascii="Times New Roman" w:hAnsi="Times New Roman" w:eastAsia="Times New Roman" w:cs="Times New Roman"/>
        <w:color w:val="000000"/>
        <w:spacing w:val="1"/>
        <w:position w:val="0"/>
        <w:sz w:val="21"/>
        <w:szCs w:val="21"/>
        <w:u w:val="none"/>
      </w:rPr>
    </w:lvl>
    <w:lvl w:ilvl="7">
      <w:start w:val="4"/>
      <w:numFmt w:val="decimal"/>
      <w:isLgl w:val="false"/>
      <w:suff w:val="tab"/>
      <w:lvlText w:val="%8."/>
      <w:lvlJc w:val="left"/>
      <w:pPr>
        <w:ind w:left="0" w:firstLine="0"/>
      </w:pPr>
      <w:rPr>
        <w:rFonts w:hint="default" w:ascii="Times New Roman" w:hAnsi="Times New Roman" w:eastAsia="Times New Roman" w:cs="Times New Roman"/>
        <w:color w:val="000000"/>
        <w:spacing w:val="1"/>
        <w:position w:val="0"/>
        <w:sz w:val="21"/>
        <w:szCs w:val="21"/>
        <w:u w:val="none"/>
      </w:rPr>
    </w:lvl>
    <w:lvl w:ilvl="8">
      <w:start w:val="4"/>
      <w:numFmt w:val="decimal"/>
      <w:isLgl w:val="false"/>
      <w:suff w:val="tab"/>
      <w:lvlText w:val="%9."/>
      <w:lvlJc w:val="left"/>
      <w:pPr>
        <w:ind w:left="0" w:firstLine="0"/>
      </w:pPr>
      <w:rPr>
        <w:rFonts w:hint="default" w:ascii="Times New Roman" w:hAnsi="Times New Roman" w:eastAsia="Times New Roman" w:cs="Times New Roman"/>
        <w:color w:val="000000"/>
        <w:spacing w:val="3"/>
        <w:position w:val="0"/>
        <w:sz w:val="21"/>
        <w:szCs w:val="21"/>
        <w:u w:val="none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1"/>
    </w:lvlOverride>
    <w:lvlOverride w:ilvl="5">
      <w:startOverride w:val="2"/>
    </w:lvlOverride>
    <w:lvlOverride w:ilvl="6">
      <w:startOverride w:val="3"/>
    </w:lvlOverride>
    <w:lvlOverride w:ilvl="7">
      <w:startOverride w:val="4"/>
    </w:lvlOverride>
    <w:lvlOverride w:ilvl="8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0"/>
    <w:next w:val="600"/>
    <w:link w:val="13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01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0"/>
    <w:next w:val="600"/>
    <w:link w:val="15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01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0"/>
    <w:next w:val="600"/>
    <w:link w:val="17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01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0"/>
    <w:next w:val="600"/>
    <w:link w:val="19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1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0"/>
    <w:next w:val="600"/>
    <w:link w:val="21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1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0"/>
    <w:next w:val="600"/>
    <w:link w:val="23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1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0"/>
    <w:next w:val="600"/>
    <w:link w:val="25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1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0"/>
    <w:next w:val="600"/>
    <w:link w:val="27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1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0"/>
    <w:next w:val="600"/>
    <w:link w:val="29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1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600"/>
    <w:next w:val="600"/>
    <w:link w:val="34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4">
    <w:name w:val="Title Char"/>
    <w:basedOn w:val="601"/>
    <w:link w:val="33"/>
    <w:uiPriority w:val="10"/>
    <w:rPr>
      <w:sz w:val="48"/>
      <w:szCs w:val="48"/>
    </w:rPr>
  </w:style>
  <w:style w:type="paragraph" w:styleId="35">
    <w:name w:val="Subtitle"/>
    <w:basedOn w:val="600"/>
    <w:next w:val="600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1"/>
    <w:link w:val="35"/>
    <w:uiPriority w:val="11"/>
    <w:rPr>
      <w:sz w:val="24"/>
      <w:szCs w:val="24"/>
    </w:rPr>
  </w:style>
  <w:style w:type="paragraph" w:styleId="37">
    <w:name w:val="Quote"/>
    <w:basedOn w:val="600"/>
    <w:next w:val="600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0"/>
    <w:next w:val="600"/>
    <w:link w:val="40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0"/>
    <w:link w:val="42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2">
    <w:name w:val="Header Char"/>
    <w:basedOn w:val="601"/>
    <w:link w:val="41"/>
    <w:uiPriority w:val="99"/>
  </w:style>
  <w:style w:type="paragraph" w:styleId="43">
    <w:name w:val="Footer"/>
    <w:basedOn w:val="600"/>
    <w:link w:val="46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4">
    <w:name w:val="Footer Char"/>
    <w:basedOn w:val="601"/>
    <w:link w:val="43"/>
    <w:uiPriority w:val="99"/>
  </w:style>
  <w:style w:type="paragraph" w:styleId="45">
    <w:name w:val="Caption"/>
    <w:basedOn w:val="600"/>
    <w:next w:val="6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0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4">
    <w:name w:val="Grid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2">
    <w:name w:val="Grid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67a4d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3">
    <w:name w:val="Grid Table 5 Dark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5b9bd5" w:themeFill="accent1"/>
      </w:tcPr>
    </w:tblStylePr>
  </w:style>
  <w:style w:type="table" w:styleId="84">
    <w:name w:val="Grid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ed7d31" w:themeFill="accent2"/>
      </w:tcPr>
    </w:tblStylePr>
  </w:style>
  <w:style w:type="table" w:styleId="85">
    <w:name w:val="Grid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a5a5a5" w:themeFill="accent3"/>
      </w:tcPr>
    </w:tblStylePr>
  </w:style>
  <w:style w:type="table" w:styleId="86">
    <w:name w:val="Grid Table 5 Dark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ffc000" w:themeFill="accent4"/>
      </w:tcPr>
    </w:tblStylePr>
  </w:style>
  <w:style w:type="table" w:styleId="87">
    <w:name w:val="Grid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472c4" w:themeFill="accent5"/>
      </w:tcPr>
    </w:tblStylePr>
  </w:style>
  <w:style w:type="table" w:styleId="88">
    <w:name w:val="Grid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70ad47" w:themeFill="accent6"/>
      </w:tcPr>
    </w:tblStylePr>
  </w:style>
  <w:style w:type="table" w:styleId="89">
    <w:name w:val="Grid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7">
    <w:name w:val="Grid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List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b9bd5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5b9bd5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b9bd5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5b9bd5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f4b185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9c9c9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ffd864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8eabdb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aad08f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0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1"/>
    <w:uiPriority w:val="99"/>
    <w:unhideWhenUsed/>
    <w:rPr>
      <w:vertAlign w:val="superscript"/>
    </w:rPr>
  </w:style>
  <w:style w:type="paragraph" w:styleId="177">
    <w:name w:val="endnote text"/>
    <w:basedOn w:val="600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1"/>
    <w:uiPriority w:val="99"/>
    <w:semiHidden/>
    <w:unhideWhenUsed/>
    <w:rPr>
      <w:vertAlign w:val="superscript"/>
    </w:rPr>
  </w:style>
  <w:style w:type="paragraph" w:styleId="180">
    <w:name w:val="toc 1"/>
    <w:basedOn w:val="600"/>
    <w:next w:val="600"/>
    <w:uiPriority w:val="39"/>
    <w:unhideWhenUsed/>
    <w:pPr>
      <w:spacing w:after="57"/>
      <w:ind w:left="0" w:right="0" w:firstLine="0"/>
    </w:pPr>
  </w:style>
  <w:style w:type="paragraph" w:styleId="181">
    <w:name w:val="toc 2"/>
    <w:basedOn w:val="600"/>
    <w:next w:val="600"/>
    <w:uiPriority w:val="39"/>
    <w:unhideWhenUsed/>
    <w:pPr>
      <w:spacing w:after="57"/>
      <w:ind w:left="283" w:right="0" w:firstLine="0"/>
    </w:pPr>
  </w:style>
  <w:style w:type="paragraph" w:styleId="182">
    <w:name w:val="toc 3"/>
    <w:basedOn w:val="600"/>
    <w:next w:val="600"/>
    <w:uiPriority w:val="39"/>
    <w:unhideWhenUsed/>
    <w:pPr>
      <w:spacing w:after="57"/>
      <w:ind w:left="567" w:right="0" w:firstLine="0"/>
    </w:pPr>
  </w:style>
  <w:style w:type="paragraph" w:styleId="183">
    <w:name w:val="toc 4"/>
    <w:basedOn w:val="600"/>
    <w:next w:val="600"/>
    <w:uiPriority w:val="39"/>
    <w:unhideWhenUsed/>
    <w:pPr>
      <w:spacing w:after="57"/>
      <w:ind w:left="850" w:right="0" w:firstLine="0"/>
    </w:pPr>
  </w:style>
  <w:style w:type="paragraph" w:styleId="184">
    <w:name w:val="toc 5"/>
    <w:basedOn w:val="600"/>
    <w:next w:val="600"/>
    <w:uiPriority w:val="39"/>
    <w:unhideWhenUsed/>
    <w:pPr>
      <w:spacing w:after="57"/>
      <w:ind w:left="1134" w:right="0" w:firstLine="0"/>
    </w:pPr>
  </w:style>
  <w:style w:type="paragraph" w:styleId="185">
    <w:name w:val="toc 6"/>
    <w:basedOn w:val="600"/>
    <w:next w:val="600"/>
    <w:uiPriority w:val="39"/>
    <w:unhideWhenUsed/>
    <w:pPr>
      <w:spacing w:after="57"/>
      <w:ind w:left="1417" w:right="0" w:firstLine="0"/>
    </w:pPr>
  </w:style>
  <w:style w:type="paragraph" w:styleId="186">
    <w:name w:val="toc 7"/>
    <w:basedOn w:val="600"/>
    <w:next w:val="600"/>
    <w:uiPriority w:val="39"/>
    <w:unhideWhenUsed/>
    <w:pPr>
      <w:spacing w:after="57"/>
      <w:ind w:left="1701" w:right="0" w:firstLine="0"/>
    </w:pPr>
  </w:style>
  <w:style w:type="paragraph" w:styleId="187">
    <w:name w:val="toc 8"/>
    <w:basedOn w:val="600"/>
    <w:next w:val="600"/>
    <w:uiPriority w:val="39"/>
    <w:unhideWhenUsed/>
    <w:pPr>
      <w:spacing w:after="57"/>
      <w:ind w:left="1984" w:right="0" w:firstLine="0"/>
    </w:pPr>
  </w:style>
  <w:style w:type="paragraph" w:styleId="188">
    <w:name w:val="toc 9"/>
    <w:basedOn w:val="600"/>
    <w:next w:val="600"/>
    <w:uiPriority w:val="39"/>
    <w:unhideWhenUsed/>
    <w:pPr>
      <w:spacing w:after="57"/>
      <w:ind w:left="2268" w:right="0" w:firstLine="0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0"/>
    <w:next w:val="600"/>
    <w:uiPriority w:val="99"/>
    <w:unhideWhenUsed/>
    <w:pPr>
      <w:spacing w:after="0" w:afterAutospacing="0"/>
    </w:pPr>
  </w:style>
  <w:style w:type="paragraph" w:styleId="600" w:default="1">
    <w:name w:val="Normal"/>
    <w:qFormat/>
  </w:style>
  <w:style w:type="character" w:styleId="601" w:default="1">
    <w:name w:val="Default Paragraph Font"/>
    <w:uiPriority w:val="1"/>
    <w:semiHidden/>
    <w:unhideWhenUsed/>
  </w:style>
  <w:style w:type="table" w:styleId="6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3" w:default="1">
    <w:name w:val="No List"/>
    <w:uiPriority w:val="99"/>
    <w:semiHidden/>
    <w:unhideWhenUsed/>
  </w:style>
  <w:style w:type="paragraph" w:styleId="604">
    <w:name w:val="List Paragraph"/>
    <w:basedOn w:val="600"/>
    <w:uiPriority w:val="34"/>
    <w:qFormat/>
    <w:pPr>
      <w:ind w:left="720"/>
      <w:contextualSpacing/>
    </w:pPr>
  </w:style>
  <w:style w:type="character" w:styleId="605">
    <w:name w:val="Placeholder Text"/>
    <w:basedOn w:val="601"/>
    <w:uiPriority w:val="99"/>
    <w:semiHidden/>
    <w:rPr>
      <w:color w:val="808080"/>
    </w:rPr>
  </w:style>
  <w:style w:type="paragraph" w:styleId="606">
    <w:name w:val="No Spacing"/>
    <w:link w:val="607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styleId="607" w:customStyle="1">
    <w:name w:val="Без интервала Знак"/>
    <w:basedOn w:val="601"/>
    <w:link w:val="606"/>
    <w:uiPriority w:val="1"/>
    <w:rPr>
      <w:rFonts w:eastAsiaTheme="minorEastAsia"/>
      <w:lang w:eastAsia="ru-RU"/>
    </w:rPr>
  </w:style>
  <w:style w:type="paragraph" w:styleId="608" w:customStyle="1">
    <w:name w:val="headertext"/>
    <w:basedOn w:val="60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09" w:customStyle="1">
    <w:name w:val="formattext"/>
    <w:basedOn w:val="60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10">
    <w:name w:val="Balloon Text"/>
    <w:basedOn w:val="600"/>
    <w:link w:val="61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11" w:customStyle="1">
    <w:name w:val="Текст выноски Знак"/>
    <w:basedOn w:val="601"/>
    <w:link w:val="610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EADE5-7427-4563-8B30-7A216CFC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Р7-Офис/7.2.0.134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Сергеевна Кудрявцева</dc:creator>
  <cp:keywords/>
  <dc:description/>
  <cp:lastModifiedBy>lidiya Novokshonova</cp:lastModifiedBy>
  <cp:revision>3</cp:revision>
  <dcterms:created xsi:type="dcterms:W3CDTF">2023-02-10T12:43:00Z</dcterms:created>
  <dcterms:modified xsi:type="dcterms:W3CDTF">2023-02-20T06:14:57Z</dcterms:modified>
</cp:coreProperties>
</file>